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F111" w14:textId="77777777" w:rsidR="005E3DE6" w:rsidRDefault="005E3DE6" w:rsidP="00787125">
      <w:pPr>
        <w:pStyle w:val="BodyText"/>
        <w:spacing w:before="83"/>
        <w:ind w:left="112" w:right="614"/>
      </w:pPr>
    </w:p>
    <w:p w14:paraId="4C06F801" w14:textId="6B1E6296" w:rsidR="00787125" w:rsidRPr="00DD7020" w:rsidRDefault="006F0FA6" w:rsidP="00787125">
      <w:pPr>
        <w:pStyle w:val="BodyText"/>
        <w:spacing w:before="83"/>
        <w:ind w:left="112" w:right="614"/>
      </w:pPr>
      <w:r>
        <w:rPr>
          <w:noProof/>
        </w:rPr>
        <mc:AlternateContent>
          <mc:Choice Requires="wps">
            <w:drawing>
              <wp:anchor distT="0" distB="0" distL="114300" distR="114300" simplePos="0" relativeHeight="251659264" behindDoc="0" locked="0" layoutInCell="1" allowOverlap="1" wp14:anchorId="07B8F9B9" wp14:editId="68B596D8">
                <wp:simplePos x="0" y="0"/>
                <wp:positionH relativeFrom="column">
                  <wp:posOffset>-192314</wp:posOffset>
                </wp:positionH>
                <wp:positionV relativeFrom="paragraph">
                  <wp:posOffset>98606</wp:posOffset>
                </wp:positionV>
                <wp:extent cx="0" cy="7783286"/>
                <wp:effectExtent l="0" t="0" r="38100" b="27305"/>
                <wp:wrapNone/>
                <wp:docPr id="2105443037" name="Straight Connector 1"/>
                <wp:cNvGraphicFramePr/>
                <a:graphic xmlns:a="http://schemas.openxmlformats.org/drawingml/2006/main">
                  <a:graphicData uri="http://schemas.microsoft.com/office/word/2010/wordprocessingShape">
                    <wps:wsp>
                      <wps:cNvCnPr/>
                      <wps:spPr>
                        <a:xfrm>
                          <a:off x="0" y="0"/>
                          <a:ext cx="0" cy="7783286"/>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8D68E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15pt,7.75pt" to="-15.15pt,6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" strokecolor="red"/>
            </w:pict>
          </mc:Fallback>
        </mc:AlternateContent>
      </w:r>
      <w:r w:rsidR="00787125" w:rsidRPr="00DD7020">
        <w:t>To request Rio Tinto's consent to transfer a Sublease or Underlease, all sections of this form must be completed and submitted together with an approved Pre-Sublease Transfer Inspection Report issued by Nhulunbuy Corporation Limited (NCL).</w:t>
      </w:r>
    </w:p>
    <w:p w14:paraId="4D39FD4B" w14:textId="0AD24722" w:rsidR="00216989" w:rsidRPr="00DD7020" w:rsidRDefault="00787125" w:rsidP="00787125">
      <w:pPr>
        <w:pStyle w:val="BodyText"/>
        <w:spacing w:before="83"/>
        <w:ind w:left="112" w:right="614"/>
      </w:pPr>
      <w:r w:rsidRPr="00DD7020">
        <w:t xml:space="preserve">Completed forms and supporting documentation </w:t>
      </w:r>
      <w:r w:rsidR="00901681" w:rsidRPr="00DD7020">
        <w:t>must</w:t>
      </w:r>
      <w:r w:rsidRPr="00DD7020">
        <w:t xml:space="preserve"> be submitted to </w:t>
      </w:r>
      <w:hyperlink r:id="rId8" w:history="1">
        <w:r w:rsidRPr="00DD7020">
          <w:rPr>
            <w:rStyle w:val="Hyperlink"/>
            <w:spacing w:val="-2"/>
          </w:rPr>
          <w:t>GoveLeasingEnquiries@riotinto.com</w:t>
        </w:r>
      </w:hyperlink>
      <w:r w:rsidR="00F37051" w:rsidRPr="00DD7020">
        <w:rPr>
          <w:spacing w:val="-2"/>
        </w:rPr>
        <w:t xml:space="preserve"> </w:t>
      </w:r>
    </w:p>
    <w:p w14:paraId="44B714EA" w14:textId="77777777" w:rsidR="00216989" w:rsidRPr="00DD7020" w:rsidRDefault="00216989">
      <w:pPr>
        <w:pStyle w:val="BodyText"/>
        <w:spacing w:before="59"/>
      </w:pPr>
    </w:p>
    <w:p w14:paraId="3EAA39B6" w14:textId="421F2431" w:rsidR="00216989" w:rsidRPr="00DD7020" w:rsidRDefault="00787125" w:rsidP="00787125">
      <w:pPr>
        <w:pStyle w:val="BodyText"/>
        <w:spacing w:after="240"/>
        <w:ind w:left="112"/>
        <w:rPr>
          <w:b/>
          <w:bCs/>
        </w:rPr>
      </w:pPr>
      <w:r w:rsidRPr="00DD7020">
        <w:rPr>
          <w:b/>
          <w:bCs/>
        </w:rPr>
        <w:t>Consent to transfer is subject to the following:</w:t>
      </w:r>
    </w:p>
    <w:p w14:paraId="747A7A3A" w14:textId="51365564" w:rsidR="00787125" w:rsidRPr="00DD7020" w:rsidRDefault="00787125">
      <w:pPr>
        <w:pStyle w:val="ListParagraph"/>
        <w:numPr>
          <w:ilvl w:val="0"/>
          <w:numId w:val="2"/>
        </w:numPr>
        <w:tabs>
          <w:tab w:val="left" w:pos="612"/>
          <w:tab w:val="left" w:pos="614"/>
        </w:tabs>
        <w:spacing w:before="61"/>
        <w:ind w:right="272"/>
        <w:rPr>
          <w:b/>
          <w:bCs/>
        </w:rPr>
      </w:pPr>
      <w:r w:rsidRPr="00DD7020">
        <w:rPr>
          <w:b/>
          <w:bCs/>
        </w:rPr>
        <w:t>NCL Pre-Sublease Transfer Inspection Report</w:t>
      </w:r>
    </w:p>
    <w:p w14:paraId="63632703" w14:textId="77A7A84B" w:rsidR="00787125" w:rsidRPr="00DD7020" w:rsidRDefault="00787125" w:rsidP="00487509">
      <w:pPr>
        <w:pStyle w:val="ListParagraph"/>
        <w:tabs>
          <w:tab w:val="left" w:pos="612"/>
          <w:tab w:val="left" w:pos="614"/>
        </w:tabs>
        <w:spacing w:before="0" w:after="240"/>
        <w:ind w:left="614" w:right="272" w:firstLine="0"/>
      </w:pPr>
      <w:r w:rsidRPr="00DD7020">
        <w:t xml:space="preserve">An approved Pre-Sublease Transfer Inspection Report must be obtained from NCL prior to Rio Tinto considering the transfer request. Any conditions identified within the report will be required to be addressed </w:t>
      </w:r>
      <w:r w:rsidR="00487509" w:rsidRPr="00DD7020">
        <w:t xml:space="preserve">prior to sublease transfer or </w:t>
      </w:r>
      <w:r w:rsidRPr="00DD7020">
        <w:t>through the transfer documentation.</w:t>
      </w:r>
    </w:p>
    <w:p w14:paraId="7C18D48D" w14:textId="5F9F11CB" w:rsidR="00787125" w:rsidRPr="00DD7020" w:rsidRDefault="00787125">
      <w:pPr>
        <w:pStyle w:val="ListParagraph"/>
        <w:numPr>
          <w:ilvl w:val="0"/>
          <w:numId w:val="2"/>
        </w:numPr>
        <w:tabs>
          <w:tab w:val="left" w:pos="612"/>
          <w:tab w:val="left" w:pos="614"/>
        </w:tabs>
        <w:spacing w:before="61"/>
        <w:ind w:right="272"/>
      </w:pPr>
      <w:r w:rsidRPr="00DD7020">
        <w:rPr>
          <w:b/>
          <w:bCs/>
        </w:rPr>
        <w:t>Submission of Application</w:t>
      </w:r>
    </w:p>
    <w:p w14:paraId="303FE0EB" w14:textId="3FFFA105" w:rsidR="00787125" w:rsidRPr="00DD7020" w:rsidRDefault="00487509" w:rsidP="005E3DE6">
      <w:pPr>
        <w:pStyle w:val="ListParagraph"/>
        <w:tabs>
          <w:tab w:val="left" w:pos="612"/>
          <w:tab w:val="left" w:pos="614"/>
        </w:tabs>
        <w:spacing w:before="0"/>
        <w:ind w:left="614" w:right="272" w:firstLine="0"/>
      </w:pPr>
      <w:r w:rsidRPr="00DD7020">
        <w:t>The Assignor (or their authorised representative) must submit a completed FRM-CAF-032 Consent to Transfer a Sublease / Underlease application together with the approved Pre-Sublease Transfer Inspection Report to Rio Tinto for review.</w:t>
      </w:r>
    </w:p>
    <w:p w14:paraId="2374D9C1" w14:textId="4C8AF451" w:rsidR="00216989" w:rsidRPr="00DD7020" w:rsidRDefault="00493C1F" w:rsidP="00787125">
      <w:pPr>
        <w:pStyle w:val="ListParagraph"/>
        <w:tabs>
          <w:tab w:val="left" w:pos="612"/>
          <w:tab w:val="left" w:pos="614"/>
        </w:tabs>
        <w:spacing w:before="61" w:after="240"/>
        <w:ind w:left="614" w:right="272" w:firstLine="0"/>
      </w:pPr>
      <w:r w:rsidRPr="00DD7020">
        <w:t xml:space="preserve">Submission must be made to: </w:t>
      </w:r>
      <w:hyperlink r:id="rId9" w:history="1">
        <w:r w:rsidR="00A773CE" w:rsidRPr="00DD7020">
          <w:rPr>
            <w:rStyle w:val="Hyperlink"/>
          </w:rPr>
          <w:t>GoveLeasingEnquiries@riotinto.com</w:t>
        </w:r>
      </w:hyperlink>
    </w:p>
    <w:p w14:paraId="621954D7" w14:textId="0E22EC0A" w:rsidR="00493C1F" w:rsidRPr="00DD7020" w:rsidRDefault="00493C1F">
      <w:pPr>
        <w:pStyle w:val="ListParagraph"/>
        <w:numPr>
          <w:ilvl w:val="0"/>
          <w:numId w:val="2"/>
        </w:numPr>
        <w:tabs>
          <w:tab w:val="left" w:pos="612"/>
          <w:tab w:val="left" w:pos="614"/>
        </w:tabs>
        <w:ind w:right="1095"/>
      </w:pPr>
      <w:r w:rsidRPr="00DD7020">
        <w:rPr>
          <w:b/>
          <w:bCs/>
        </w:rPr>
        <w:t>Cost Recovery</w:t>
      </w:r>
    </w:p>
    <w:p w14:paraId="1B6313E7" w14:textId="1968B8EF" w:rsidR="00487509" w:rsidRPr="00DD7020" w:rsidRDefault="00487509" w:rsidP="00487509">
      <w:pPr>
        <w:pStyle w:val="ListParagraph"/>
        <w:tabs>
          <w:tab w:val="left" w:pos="612"/>
          <w:tab w:val="left" w:pos="614"/>
        </w:tabs>
        <w:spacing w:before="0"/>
        <w:ind w:left="614" w:right="299" w:firstLine="0"/>
      </w:pPr>
      <w:r w:rsidRPr="00DD7020">
        <w:t>The Assignor is responsible for all costs incurred by Rio Tinto in facilitating the transfer, including the preparation of legal documentation. A standard fee will be advised and must be paid prior to the commencement of drafting.</w:t>
      </w:r>
    </w:p>
    <w:p w14:paraId="6AC4CEE3" w14:textId="08E6DAC3" w:rsidR="00493C1F" w:rsidRPr="00DD7020" w:rsidRDefault="00487509" w:rsidP="00487509">
      <w:pPr>
        <w:pStyle w:val="ListParagraph"/>
        <w:tabs>
          <w:tab w:val="left" w:pos="612"/>
          <w:tab w:val="left" w:pos="614"/>
        </w:tabs>
        <w:spacing w:after="240"/>
        <w:ind w:left="614" w:right="299" w:firstLine="0"/>
      </w:pPr>
      <w:r w:rsidRPr="00DD7020">
        <w:t>Where additional conditions are required to be incorporated into the transfer documentation, or where negotiations, amendments or additional legal services are required following preparation of the initial draft deeds, additional costs may apply and will be recovered from the Assignor.</w:t>
      </w:r>
    </w:p>
    <w:p w14:paraId="6AF0196E" w14:textId="66B798BD" w:rsidR="00487509" w:rsidRPr="00DD7020" w:rsidRDefault="00487509" w:rsidP="00493C1F">
      <w:pPr>
        <w:pStyle w:val="ListParagraph"/>
        <w:numPr>
          <w:ilvl w:val="0"/>
          <w:numId w:val="2"/>
        </w:numPr>
        <w:tabs>
          <w:tab w:val="left" w:pos="612"/>
          <w:tab w:val="left" w:pos="614"/>
        </w:tabs>
        <w:ind w:right="299"/>
      </w:pPr>
      <w:r w:rsidRPr="00DD7020">
        <w:rPr>
          <w:b/>
          <w:bCs/>
        </w:rPr>
        <w:t>Execution of Transfer Documentation</w:t>
      </w:r>
    </w:p>
    <w:p w14:paraId="1B3C637D" w14:textId="618B61D8" w:rsidR="00487509" w:rsidRPr="00DD7020" w:rsidRDefault="00487509" w:rsidP="00487509">
      <w:pPr>
        <w:pStyle w:val="ListParagraph"/>
        <w:tabs>
          <w:tab w:val="left" w:pos="612"/>
          <w:tab w:val="left" w:pos="614"/>
        </w:tabs>
        <w:spacing w:before="0" w:after="240"/>
        <w:ind w:left="614" w:right="148" w:firstLine="0"/>
      </w:pPr>
      <w:r w:rsidRPr="00DD7020">
        <w:t>Following Rio Tinto's approval to proceed, Rio Tinto's legal representative will prepare and negotiate a Deed of Consent to Assignment of Sublease or Underlease on terms satisfactory to Rio Tinto and the Assignor's conveyancer. The Assignor and Assignee will be required to execute the deeds in triplicate, in the presence of an appropriately qualified witness where required.</w:t>
      </w:r>
    </w:p>
    <w:p w14:paraId="5D9661F8" w14:textId="1EDF4E73" w:rsidR="00487509" w:rsidRPr="00DD7020" w:rsidRDefault="00487509">
      <w:pPr>
        <w:pStyle w:val="ListParagraph"/>
        <w:numPr>
          <w:ilvl w:val="0"/>
          <w:numId w:val="2"/>
        </w:numPr>
        <w:tabs>
          <w:tab w:val="left" w:pos="612"/>
          <w:tab w:val="left" w:pos="614"/>
        </w:tabs>
        <w:spacing w:before="59"/>
        <w:ind w:right="148"/>
      </w:pPr>
      <w:r w:rsidRPr="00DD7020">
        <w:rPr>
          <w:b/>
          <w:bCs/>
        </w:rPr>
        <w:t>Ministerial Consent</w:t>
      </w:r>
    </w:p>
    <w:p w14:paraId="7EEE958B" w14:textId="3B357E13" w:rsidR="00487509" w:rsidRPr="00DD7020" w:rsidRDefault="00487509" w:rsidP="00487509">
      <w:pPr>
        <w:pStyle w:val="ListParagraph"/>
        <w:tabs>
          <w:tab w:val="left" w:pos="612"/>
          <w:tab w:val="left" w:pos="614"/>
        </w:tabs>
        <w:spacing w:before="0" w:after="240"/>
        <w:ind w:left="614" w:right="237" w:firstLine="0"/>
      </w:pPr>
      <w:r w:rsidRPr="00DD7020">
        <w:t>Ministerial Consent is required to complete the transfer. The Assignor's conveyancer is responsible for obtaining Ministerial Consent in accordance with the applicable Northern Territory Government requirements and procedures.</w:t>
      </w:r>
    </w:p>
    <w:p w14:paraId="7A11050C" w14:textId="725A4EFF" w:rsidR="00487509" w:rsidRPr="00DD7020" w:rsidRDefault="00487509">
      <w:pPr>
        <w:pStyle w:val="ListParagraph"/>
        <w:numPr>
          <w:ilvl w:val="0"/>
          <w:numId w:val="2"/>
        </w:numPr>
        <w:tabs>
          <w:tab w:val="left" w:pos="612"/>
          <w:tab w:val="left" w:pos="614"/>
        </w:tabs>
        <w:spacing w:before="62"/>
        <w:ind w:right="237"/>
      </w:pPr>
      <w:r w:rsidRPr="00DD7020">
        <w:rPr>
          <w:b/>
          <w:bCs/>
        </w:rPr>
        <w:t>Rio Tinto Consent</w:t>
      </w:r>
    </w:p>
    <w:p w14:paraId="18DAF598" w14:textId="0E327A3E" w:rsidR="00487509" w:rsidRPr="00DD7020" w:rsidRDefault="00487509" w:rsidP="00487509">
      <w:pPr>
        <w:pStyle w:val="ListParagraph"/>
        <w:tabs>
          <w:tab w:val="left" w:pos="612"/>
          <w:tab w:val="left" w:pos="614"/>
        </w:tabs>
        <w:spacing w:before="0" w:after="240"/>
        <w:ind w:left="614" w:right="333" w:firstLine="0"/>
      </w:pPr>
      <w:r w:rsidRPr="00DD7020">
        <w:t>Upon receipt of the executed deeds and Ministerial Consent, Rio Tinto will undertake a final review and, where satisfied all requirements have been met, execute the transfer documentation to formally endorse the Sublease or Underlease transfer.</w:t>
      </w:r>
    </w:p>
    <w:p w14:paraId="75964880" w14:textId="384D971F" w:rsidR="00487509" w:rsidRPr="00DD7020" w:rsidRDefault="00487509">
      <w:pPr>
        <w:pStyle w:val="ListParagraph"/>
        <w:numPr>
          <w:ilvl w:val="0"/>
          <w:numId w:val="2"/>
        </w:numPr>
        <w:tabs>
          <w:tab w:val="left" w:pos="612"/>
          <w:tab w:val="left" w:pos="614"/>
        </w:tabs>
        <w:ind w:right="333"/>
      </w:pPr>
      <w:r w:rsidRPr="00DD7020">
        <w:rPr>
          <w:b/>
          <w:bCs/>
        </w:rPr>
        <w:t>Registration of Sublease</w:t>
      </w:r>
    </w:p>
    <w:p w14:paraId="1999DD92" w14:textId="1B2A3445" w:rsidR="00216989" w:rsidRPr="00DD7020" w:rsidRDefault="00487509" w:rsidP="00487509">
      <w:pPr>
        <w:pStyle w:val="BodyText"/>
        <w:ind w:left="614"/>
      </w:pPr>
      <w:r w:rsidRPr="00DD7020">
        <w:t>Following execution, the Assignor's conveyancer is responsible for registering the Sublease transfer with Crown Lands. Upon registration, a copy of the Registration Statement issued by the Northern Territory Land Titles Office must be provided to Rio Tinto or Rio Tinto's legal representative for record updates and completion of the transfer process.</w:t>
      </w:r>
    </w:p>
    <w:p w14:paraId="3ED5E6BB" w14:textId="77777777" w:rsidR="00216989" w:rsidRPr="00A773CE" w:rsidRDefault="00216989">
      <w:pPr>
        <w:pStyle w:val="BodyText"/>
      </w:pPr>
    </w:p>
    <w:p w14:paraId="2F0172B8" w14:textId="7D5857E2" w:rsidR="00A773CE" w:rsidRPr="00A773CE" w:rsidRDefault="00A773CE">
      <w:r w:rsidRPr="00A773CE">
        <w:br w:type="page"/>
      </w:r>
    </w:p>
    <w:p w14:paraId="27EFF2F7" w14:textId="77777777" w:rsidR="00216989" w:rsidRDefault="00216989" w:rsidP="00DD7020"/>
    <w:tbl>
      <w:tblPr>
        <w:tblStyle w:val="TableGrid"/>
        <w:tblW w:w="0" w:type="auto"/>
        <w:tblLook w:val="04A0" w:firstRow="1" w:lastRow="0" w:firstColumn="1" w:lastColumn="0" w:noHBand="0" w:noVBand="1"/>
      </w:tblPr>
      <w:tblGrid>
        <w:gridCol w:w="1980"/>
        <w:gridCol w:w="2268"/>
        <w:gridCol w:w="6282"/>
      </w:tblGrid>
      <w:tr w:rsidR="006F0FA6" w:rsidRPr="00DD7020" w14:paraId="2FF3FE87" w14:textId="77777777" w:rsidTr="006F0FA6">
        <w:trPr>
          <w:trHeight w:hRule="exact" w:val="567"/>
        </w:trPr>
        <w:tc>
          <w:tcPr>
            <w:tcW w:w="1980" w:type="dxa"/>
            <w:vMerge w:val="restart"/>
            <w:shd w:val="clear" w:color="auto" w:fill="BFBFBF" w:themeFill="background1" w:themeFillShade="BF"/>
            <w:vAlign w:val="center"/>
          </w:tcPr>
          <w:p w14:paraId="660FBDB4" w14:textId="00A0DAC2" w:rsidR="006F0FA6" w:rsidRPr="006F0FA6" w:rsidRDefault="006F0FA6" w:rsidP="00DD7020">
            <w:pPr>
              <w:rPr>
                <w:b/>
                <w:bCs/>
              </w:rPr>
            </w:pPr>
            <w:r>
              <w:rPr>
                <w:b/>
                <w:bCs/>
              </w:rPr>
              <w:t>Property</w:t>
            </w:r>
          </w:p>
        </w:tc>
        <w:tc>
          <w:tcPr>
            <w:tcW w:w="2268" w:type="dxa"/>
            <w:vAlign w:val="center"/>
          </w:tcPr>
          <w:p w14:paraId="04ED9CE7" w14:textId="18F86DC4" w:rsidR="006F0FA6" w:rsidRPr="00DD7020" w:rsidRDefault="006F0FA6" w:rsidP="00DD7020">
            <w:r>
              <w:t>Lot No.</w:t>
            </w:r>
          </w:p>
        </w:tc>
        <w:tc>
          <w:tcPr>
            <w:tcW w:w="6282" w:type="dxa"/>
            <w:vAlign w:val="center"/>
          </w:tcPr>
          <w:p w14:paraId="2AA8FCB9" w14:textId="17A7489B" w:rsidR="006F0FA6" w:rsidRPr="00DD7020" w:rsidRDefault="006F0FA6" w:rsidP="00DD7020">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F0FA6" w:rsidRPr="00DD7020" w14:paraId="49F25D5A" w14:textId="77777777" w:rsidTr="006F0FA6">
        <w:trPr>
          <w:trHeight w:hRule="exact" w:val="567"/>
        </w:trPr>
        <w:tc>
          <w:tcPr>
            <w:tcW w:w="1980" w:type="dxa"/>
            <w:vMerge/>
            <w:shd w:val="clear" w:color="auto" w:fill="BFBFBF" w:themeFill="background1" w:themeFillShade="BF"/>
            <w:vAlign w:val="center"/>
          </w:tcPr>
          <w:p w14:paraId="3E785929" w14:textId="77777777" w:rsidR="006F0FA6" w:rsidRPr="00DD7020" w:rsidRDefault="006F0FA6" w:rsidP="00DD7020"/>
        </w:tc>
        <w:tc>
          <w:tcPr>
            <w:tcW w:w="2268" w:type="dxa"/>
            <w:vAlign w:val="center"/>
          </w:tcPr>
          <w:p w14:paraId="2A0144C0" w14:textId="080B5483" w:rsidR="006F0FA6" w:rsidRPr="00DD7020" w:rsidRDefault="006F0FA6" w:rsidP="00DD7020">
            <w:r>
              <w:t>Street Address</w:t>
            </w:r>
          </w:p>
        </w:tc>
        <w:tc>
          <w:tcPr>
            <w:tcW w:w="6282" w:type="dxa"/>
            <w:vAlign w:val="center"/>
          </w:tcPr>
          <w:p w14:paraId="0DB73ED6" w14:textId="55B41F05" w:rsidR="006F0FA6" w:rsidRPr="00DD7020" w:rsidRDefault="006F0FA6" w:rsidP="00DD7020">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F0FA6" w:rsidRPr="00DD7020" w14:paraId="0275B697" w14:textId="77777777" w:rsidTr="006F0FA6">
        <w:trPr>
          <w:trHeight w:hRule="exact" w:val="567"/>
        </w:trPr>
        <w:tc>
          <w:tcPr>
            <w:tcW w:w="1980" w:type="dxa"/>
            <w:vMerge/>
            <w:shd w:val="clear" w:color="auto" w:fill="BFBFBF" w:themeFill="background1" w:themeFillShade="BF"/>
            <w:vAlign w:val="center"/>
          </w:tcPr>
          <w:p w14:paraId="71F415B7" w14:textId="77777777" w:rsidR="006F0FA6" w:rsidRPr="00DD7020" w:rsidRDefault="006F0FA6" w:rsidP="00DD7020"/>
        </w:tc>
        <w:tc>
          <w:tcPr>
            <w:tcW w:w="2268" w:type="dxa"/>
            <w:vAlign w:val="center"/>
          </w:tcPr>
          <w:p w14:paraId="3BF20D62" w14:textId="1BC618D4" w:rsidR="006F0FA6" w:rsidRPr="00DD7020" w:rsidRDefault="006F0FA6" w:rsidP="00DD7020">
            <w:r>
              <w:t>Sublease Number</w:t>
            </w:r>
          </w:p>
        </w:tc>
        <w:tc>
          <w:tcPr>
            <w:tcW w:w="6282" w:type="dxa"/>
            <w:vAlign w:val="center"/>
          </w:tcPr>
          <w:p w14:paraId="4FF844D6" w14:textId="058F47A3" w:rsidR="006F0FA6" w:rsidRPr="00DD7020" w:rsidRDefault="006F0FA6" w:rsidP="00DD7020">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F0FA6" w:rsidRPr="00DD7020" w14:paraId="210828CB" w14:textId="77777777" w:rsidTr="006F0FA6">
        <w:trPr>
          <w:trHeight w:hRule="exact" w:val="567"/>
        </w:trPr>
        <w:tc>
          <w:tcPr>
            <w:tcW w:w="1980" w:type="dxa"/>
            <w:vMerge w:val="restart"/>
            <w:shd w:val="clear" w:color="auto" w:fill="BFBFBF" w:themeFill="background1" w:themeFillShade="BF"/>
            <w:vAlign w:val="center"/>
          </w:tcPr>
          <w:p w14:paraId="78EA6118" w14:textId="5F55A135" w:rsidR="006F0FA6" w:rsidRPr="006F0FA6" w:rsidRDefault="006F0FA6" w:rsidP="00DD7020">
            <w:pPr>
              <w:rPr>
                <w:b/>
                <w:bCs/>
              </w:rPr>
            </w:pPr>
            <w:r w:rsidRPr="006F0FA6">
              <w:rPr>
                <w:b/>
                <w:bCs/>
              </w:rPr>
              <w:t>Assignor/s</w:t>
            </w:r>
          </w:p>
        </w:tc>
        <w:tc>
          <w:tcPr>
            <w:tcW w:w="2268" w:type="dxa"/>
            <w:shd w:val="clear" w:color="auto" w:fill="D9D9D9" w:themeFill="background1" w:themeFillShade="D9"/>
            <w:vAlign w:val="center"/>
          </w:tcPr>
          <w:p w14:paraId="529BD64C" w14:textId="2F393F6A" w:rsidR="006F0FA6" w:rsidRPr="00DD7020" w:rsidRDefault="006F0FA6" w:rsidP="00DD7020">
            <w:r>
              <w:t>Name/s (as it will appear on the deeds)</w:t>
            </w:r>
          </w:p>
        </w:tc>
        <w:tc>
          <w:tcPr>
            <w:tcW w:w="6282" w:type="dxa"/>
            <w:shd w:val="clear" w:color="auto" w:fill="D9D9D9" w:themeFill="background1" w:themeFillShade="D9"/>
            <w:vAlign w:val="center"/>
          </w:tcPr>
          <w:p w14:paraId="3F7906D6" w14:textId="32045D88" w:rsidR="006F0FA6" w:rsidRPr="00DD7020" w:rsidRDefault="006F0FA6" w:rsidP="00DD7020">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F0FA6" w:rsidRPr="00DD7020" w14:paraId="10E6EC40" w14:textId="77777777" w:rsidTr="006F0FA6">
        <w:trPr>
          <w:trHeight w:hRule="exact" w:val="567"/>
        </w:trPr>
        <w:tc>
          <w:tcPr>
            <w:tcW w:w="1980" w:type="dxa"/>
            <w:vMerge/>
            <w:shd w:val="clear" w:color="auto" w:fill="BFBFBF" w:themeFill="background1" w:themeFillShade="BF"/>
            <w:vAlign w:val="center"/>
          </w:tcPr>
          <w:p w14:paraId="5111C08C" w14:textId="77777777" w:rsidR="006F0FA6" w:rsidRPr="006F0FA6" w:rsidRDefault="006F0FA6" w:rsidP="00DD7020">
            <w:pPr>
              <w:rPr>
                <w:b/>
                <w:bCs/>
              </w:rPr>
            </w:pPr>
          </w:p>
        </w:tc>
        <w:tc>
          <w:tcPr>
            <w:tcW w:w="2268" w:type="dxa"/>
            <w:shd w:val="clear" w:color="auto" w:fill="D9D9D9" w:themeFill="background1" w:themeFillShade="D9"/>
            <w:vAlign w:val="center"/>
          </w:tcPr>
          <w:p w14:paraId="31149BAB" w14:textId="33B25E29" w:rsidR="006F0FA6" w:rsidRPr="00DD7020" w:rsidRDefault="006F0FA6" w:rsidP="00DD7020">
            <w:r>
              <w:t>Postal Address</w:t>
            </w:r>
          </w:p>
        </w:tc>
        <w:tc>
          <w:tcPr>
            <w:tcW w:w="6282" w:type="dxa"/>
            <w:shd w:val="clear" w:color="auto" w:fill="D9D9D9" w:themeFill="background1" w:themeFillShade="D9"/>
            <w:vAlign w:val="center"/>
          </w:tcPr>
          <w:p w14:paraId="7EA4BCAB" w14:textId="5A815F56" w:rsidR="006F0FA6" w:rsidRPr="00DD7020" w:rsidRDefault="006F0FA6" w:rsidP="00DD7020">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F0FA6" w:rsidRPr="00DD7020" w14:paraId="51C86C7F" w14:textId="77777777" w:rsidTr="006F0FA6">
        <w:trPr>
          <w:trHeight w:hRule="exact" w:val="567"/>
        </w:trPr>
        <w:tc>
          <w:tcPr>
            <w:tcW w:w="1980" w:type="dxa"/>
            <w:vMerge w:val="restart"/>
            <w:shd w:val="clear" w:color="auto" w:fill="BFBFBF" w:themeFill="background1" w:themeFillShade="BF"/>
            <w:vAlign w:val="center"/>
          </w:tcPr>
          <w:p w14:paraId="06021E1B" w14:textId="241DA645" w:rsidR="006F0FA6" w:rsidRPr="006F0FA6" w:rsidRDefault="006F0FA6" w:rsidP="00DD7020">
            <w:pPr>
              <w:rPr>
                <w:b/>
                <w:bCs/>
              </w:rPr>
            </w:pPr>
            <w:r>
              <w:rPr>
                <w:b/>
                <w:bCs/>
              </w:rPr>
              <w:t>Assignor’s Solicitor</w:t>
            </w:r>
          </w:p>
        </w:tc>
        <w:tc>
          <w:tcPr>
            <w:tcW w:w="2268" w:type="dxa"/>
            <w:vAlign w:val="center"/>
          </w:tcPr>
          <w:p w14:paraId="1A49B6E5" w14:textId="4F2DA5DA" w:rsidR="006F0FA6" w:rsidRPr="00DD7020" w:rsidRDefault="006F0FA6" w:rsidP="00DD7020">
            <w:r>
              <w:t>Name</w:t>
            </w:r>
          </w:p>
        </w:tc>
        <w:tc>
          <w:tcPr>
            <w:tcW w:w="6282" w:type="dxa"/>
            <w:vAlign w:val="center"/>
          </w:tcPr>
          <w:p w14:paraId="18FA34CD" w14:textId="17F46312" w:rsidR="006F0FA6" w:rsidRPr="00DD7020" w:rsidRDefault="006F0FA6" w:rsidP="00DD7020">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6F0FA6" w:rsidRPr="00DD7020" w14:paraId="1A48E0C0" w14:textId="77777777" w:rsidTr="006F0FA6">
        <w:trPr>
          <w:trHeight w:hRule="exact" w:val="567"/>
        </w:trPr>
        <w:tc>
          <w:tcPr>
            <w:tcW w:w="1980" w:type="dxa"/>
            <w:vMerge/>
            <w:shd w:val="clear" w:color="auto" w:fill="BFBFBF" w:themeFill="background1" w:themeFillShade="BF"/>
            <w:vAlign w:val="center"/>
          </w:tcPr>
          <w:p w14:paraId="10F71DAE" w14:textId="77777777" w:rsidR="006F0FA6" w:rsidRPr="006F0FA6" w:rsidRDefault="006F0FA6" w:rsidP="00DD7020">
            <w:pPr>
              <w:rPr>
                <w:b/>
                <w:bCs/>
              </w:rPr>
            </w:pPr>
          </w:p>
        </w:tc>
        <w:tc>
          <w:tcPr>
            <w:tcW w:w="2268" w:type="dxa"/>
            <w:vAlign w:val="center"/>
          </w:tcPr>
          <w:p w14:paraId="733A5202" w14:textId="42E0A967" w:rsidR="006F0FA6" w:rsidRPr="00DD7020" w:rsidRDefault="006F0FA6" w:rsidP="00DD7020">
            <w:r>
              <w:t>Email Address</w:t>
            </w:r>
          </w:p>
        </w:tc>
        <w:tc>
          <w:tcPr>
            <w:tcW w:w="6282" w:type="dxa"/>
            <w:vAlign w:val="center"/>
          </w:tcPr>
          <w:p w14:paraId="1F69009A" w14:textId="55017080" w:rsidR="006F0FA6" w:rsidRPr="00DD7020" w:rsidRDefault="006F0FA6" w:rsidP="00DD7020">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6F0FA6" w:rsidRPr="00DD7020" w14:paraId="61DACC76" w14:textId="77777777" w:rsidTr="006F0FA6">
        <w:trPr>
          <w:trHeight w:hRule="exact" w:val="567"/>
        </w:trPr>
        <w:tc>
          <w:tcPr>
            <w:tcW w:w="1980" w:type="dxa"/>
            <w:vMerge/>
            <w:shd w:val="clear" w:color="auto" w:fill="BFBFBF" w:themeFill="background1" w:themeFillShade="BF"/>
            <w:vAlign w:val="center"/>
          </w:tcPr>
          <w:p w14:paraId="78E2E031" w14:textId="77777777" w:rsidR="006F0FA6" w:rsidRPr="006F0FA6" w:rsidRDefault="006F0FA6" w:rsidP="00DD7020">
            <w:pPr>
              <w:rPr>
                <w:b/>
                <w:bCs/>
              </w:rPr>
            </w:pPr>
          </w:p>
        </w:tc>
        <w:tc>
          <w:tcPr>
            <w:tcW w:w="2268" w:type="dxa"/>
            <w:vAlign w:val="center"/>
          </w:tcPr>
          <w:p w14:paraId="32BFABB7" w14:textId="08D2D900" w:rsidR="006F0FA6" w:rsidRPr="00DD7020" w:rsidRDefault="006F0FA6" w:rsidP="00DD7020">
            <w:r>
              <w:t>Postal Address</w:t>
            </w:r>
          </w:p>
        </w:tc>
        <w:tc>
          <w:tcPr>
            <w:tcW w:w="6282" w:type="dxa"/>
            <w:vAlign w:val="center"/>
          </w:tcPr>
          <w:p w14:paraId="7E2B6551" w14:textId="63D8F51B" w:rsidR="006F0FA6" w:rsidRPr="00DD7020" w:rsidRDefault="006F0FA6" w:rsidP="00DD7020">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F0FA6" w:rsidRPr="00DD7020" w14:paraId="40459A53" w14:textId="77777777" w:rsidTr="006F0FA6">
        <w:trPr>
          <w:trHeight w:hRule="exact" w:val="567"/>
        </w:trPr>
        <w:tc>
          <w:tcPr>
            <w:tcW w:w="1980" w:type="dxa"/>
            <w:vMerge/>
            <w:shd w:val="clear" w:color="auto" w:fill="BFBFBF" w:themeFill="background1" w:themeFillShade="BF"/>
            <w:vAlign w:val="center"/>
          </w:tcPr>
          <w:p w14:paraId="21E2A469" w14:textId="77777777" w:rsidR="006F0FA6" w:rsidRPr="006F0FA6" w:rsidRDefault="006F0FA6" w:rsidP="00DD7020">
            <w:pPr>
              <w:rPr>
                <w:b/>
                <w:bCs/>
              </w:rPr>
            </w:pPr>
          </w:p>
        </w:tc>
        <w:tc>
          <w:tcPr>
            <w:tcW w:w="2268" w:type="dxa"/>
            <w:vAlign w:val="center"/>
          </w:tcPr>
          <w:p w14:paraId="0ECA05F2" w14:textId="0D194042" w:rsidR="006F0FA6" w:rsidRPr="00DD7020" w:rsidRDefault="006F0FA6" w:rsidP="00DD7020">
            <w:r>
              <w:t>Phone Number</w:t>
            </w:r>
          </w:p>
        </w:tc>
        <w:tc>
          <w:tcPr>
            <w:tcW w:w="6282" w:type="dxa"/>
            <w:vAlign w:val="center"/>
          </w:tcPr>
          <w:p w14:paraId="7752D86C" w14:textId="57520D60" w:rsidR="006F0FA6" w:rsidRPr="00DD7020" w:rsidRDefault="006F0FA6" w:rsidP="00DD7020">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6F0FA6" w:rsidRPr="00DD7020" w14:paraId="3D9CD7A3" w14:textId="77777777" w:rsidTr="006F0FA6">
        <w:trPr>
          <w:trHeight w:hRule="exact" w:val="567"/>
        </w:trPr>
        <w:tc>
          <w:tcPr>
            <w:tcW w:w="1980" w:type="dxa"/>
            <w:vMerge w:val="restart"/>
            <w:shd w:val="clear" w:color="auto" w:fill="BFBFBF" w:themeFill="background1" w:themeFillShade="BF"/>
            <w:vAlign w:val="center"/>
          </w:tcPr>
          <w:p w14:paraId="493E3BFE" w14:textId="10BB38FC" w:rsidR="006F0FA6" w:rsidRPr="006F0FA6" w:rsidRDefault="006F0FA6" w:rsidP="00DD7020">
            <w:pPr>
              <w:rPr>
                <w:b/>
                <w:bCs/>
              </w:rPr>
            </w:pPr>
            <w:r>
              <w:rPr>
                <w:b/>
                <w:bCs/>
              </w:rPr>
              <w:t>Assignee/ Underlessee</w:t>
            </w:r>
          </w:p>
        </w:tc>
        <w:tc>
          <w:tcPr>
            <w:tcW w:w="2268" w:type="dxa"/>
            <w:shd w:val="clear" w:color="auto" w:fill="D9D9D9" w:themeFill="background1" w:themeFillShade="D9"/>
            <w:vAlign w:val="center"/>
          </w:tcPr>
          <w:p w14:paraId="739050F1" w14:textId="141E7471" w:rsidR="006F0FA6" w:rsidRPr="00DD7020" w:rsidRDefault="006F0FA6" w:rsidP="00DD7020">
            <w:r>
              <w:t>Name (as it will appear on the deeds)</w:t>
            </w:r>
          </w:p>
        </w:tc>
        <w:tc>
          <w:tcPr>
            <w:tcW w:w="6282" w:type="dxa"/>
            <w:shd w:val="clear" w:color="auto" w:fill="D9D9D9" w:themeFill="background1" w:themeFillShade="D9"/>
            <w:vAlign w:val="center"/>
          </w:tcPr>
          <w:p w14:paraId="027E2D4F" w14:textId="27660A38" w:rsidR="006F0FA6" w:rsidRPr="00DD7020" w:rsidRDefault="006F0FA6" w:rsidP="00DD7020">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6F0FA6" w:rsidRPr="00DD7020" w14:paraId="02A04F0C" w14:textId="77777777" w:rsidTr="006F0FA6">
        <w:trPr>
          <w:trHeight w:hRule="exact" w:val="567"/>
        </w:trPr>
        <w:tc>
          <w:tcPr>
            <w:tcW w:w="1980" w:type="dxa"/>
            <w:vMerge/>
            <w:shd w:val="clear" w:color="auto" w:fill="BFBFBF" w:themeFill="background1" w:themeFillShade="BF"/>
            <w:vAlign w:val="center"/>
          </w:tcPr>
          <w:p w14:paraId="45095AF0" w14:textId="77777777" w:rsidR="006F0FA6" w:rsidRPr="006F0FA6" w:rsidRDefault="006F0FA6" w:rsidP="00DD7020">
            <w:pPr>
              <w:rPr>
                <w:b/>
                <w:bCs/>
              </w:rPr>
            </w:pPr>
          </w:p>
        </w:tc>
        <w:tc>
          <w:tcPr>
            <w:tcW w:w="2268" w:type="dxa"/>
            <w:shd w:val="clear" w:color="auto" w:fill="D9D9D9" w:themeFill="background1" w:themeFillShade="D9"/>
            <w:vAlign w:val="center"/>
          </w:tcPr>
          <w:p w14:paraId="12F2880D" w14:textId="2DCF1009" w:rsidR="006F0FA6" w:rsidRPr="00DD7020" w:rsidRDefault="006F0FA6" w:rsidP="00DD7020">
            <w:r>
              <w:t>Postal Address</w:t>
            </w:r>
          </w:p>
        </w:tc>
        <w:tc>
          <w:tcPr>
            <w:tcW w:w="6282" w:type="dxa"/>
            <w:shd w:val="clear" w:color="auto" w:fill="D9D9D9" w:themeFill="background1" w:themeFillShade="D9"/>
            <w:vAlign w:val="center"/>
          </w:tcPr>
          <w:p w14:paraId="7D5A0C8C" w14:textId="5DAB645A" w:rsidR="006F0FA6" w:rsidRPr="00DD7020" w:rsidRDefault="006F0FA6" w:rsidP="00DD7020">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6F0FA6" w:rsidRPr="00DD7020" w14:paraId="707B4692" w14:textId="77777777" w:rsidTr="006F0FA6">
        <w:trPr>
          <w:trHeight w:hRule="exact" w:val="567"/>
        </w:trPr>
        <w:tc>
          <w:tcPr>
            <w:tcW w:w="1980" w:type="dxa"/>
            <w:vMerge w:val="restart"/>
            <w:shd w:val="clear" w:color="auto" w:fill="BFBFBF" w:themeFill="background1" w:themeFillShade="BF"/>
            <w:vAlign w:val="center"/>
          </w:tcPr>
          <w:p w14:paraId="5B054052" w14:textId="1F9E0190" w:rsidR="006F0FA6" w:rsidRPr="006F0FA6" w:rsidRDefault="006F0FA6" w:rsidP="00DD7020">
            <w:pPr>
              <w:rPr>
                <w:b/>
                <w:bCs/>
              </w:rPr>
            </w:pPr>
            <w:r>
              <w:rPr>
                <w:b/>
                <w:bCs/>
              </w:rPr>
              <w:t>Assignee’s or Underlessee Solicitor</w:t>
            </w:r>
          </w:p>
        </w:tc>
        <w:tc>
          <w:tcPr>
            <w:tcW w:w="2268" w:type="dxa"/>
            <w:vAlign w:val="center"/>
          </w:tcPr>
          <w:p w14:paraId="73817623" w14:textId="1F09EBEC" w:rsidR="006F0FA6" w:rsidRPr="00DD7020" w:rsidRDefault="006F0FA6" w:rsidP="00DD7020">
            <w:r>
              <w:t>Name</w:t>
            </w:r>
          </w:p>
        </w:tc>
        <w:tc>
          <w:tcPr>
            <w:tcW w:w="6282" w:type="dxa"/>
            <w:vAlign w:val="center"/>
          </w:tcPr>
          <w:p w14:paraId="489E0038" w14:textId="1DFBE52A" w:rsidR="006F0FA6" w:rsidRPr="00DD7020" w:rsidRDefault="006F0FA6" w:rsidP="00DD7020">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6F0FA6" w:rsidRPr="00DD7020" w14:paraId="1342092E" w14:textId="77777777" w:rsidTr="006F0FA6">
        <w:trPr>
          <w:trHeight w:hRule="exact" w:val="567"/>
        </w:trPr>
        <w:tc>
          <w:tcPr>
            <w:tcW w:w="1980" w:type="dxa"/>
            <w:vMerge/>
            <w:shd w:val="clear" w:color="auto" w:fill="BFBFBF" w:themeFill="background1" w:themeFillShade="BF"/>
            <w:vAlign w:val="center"/>
          </w:tcPr>
          <w:p w14:paraId="444F5443" w14:textId="77777777" w:rsidR="006F0FA6" w:rsidRPr="006F0FA6" w:rsidRDefault="006F0FA6" w:rsidP="00DD7020">
            <w:pPr>
              <w:rPr>
                <w:b/>
                <w:bCs/>
              </w:rPr>
            </w:pPr>
          </w:p>
        </w:tc>
        <w:tc>
          <w:tcPr>
            <w:tcW w:w="2268" w:type="dxa"/>
            <w:vAlign w:val="center"/>
          </w:tcPr>
          <w:p w14:paraId="326066AE" w14:textId="1F6BB941" w:rsidR="006F0FA6" w:rsidRPr="00DD7020" w:rsidRDefault="006F0FA6" w:rsidP="00DD7020">
            <w:r>
              <w:t>Email Address</w:t>
            </w:r>
          </w:p>
        </w:tc>
        <w:tc>
          <w:tcPr>
            <w:tcW w:w="6282" w:type="dxa"/>
            <w:vAlign w:val="center"/>
          </w:tcPr>
          <w:p w14:paraId="375000F8" w14:textId="54911E55" w:rsidR="006F0FA6" w:rsidRPr="00DD7020" w:rsidRDefault="006F0FA6" w:rsidP="00DD7020">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6F0FA6" w:rsidRPr="00DD7020" w14:paraId="162991CD" w14:textId="77777777" w:rsidTr="006F0FA6">
        <w:trPr>
          <w:trHeight w:hRule="exact" w:val="567"/>
        </w:trPr>
        <w:tc>
          <w:tcPr>
            <w:tcW w:w="1980" w:type="dxa"/>
            <w:vMerge/>
            <w:shd w:val="clear" w:color="auto" w:fill="BFBFBF" w:themeFill="background1" w:themeFillShade="BF"/>
            <w:vAlign w:val="center"/>
          </w:tcPr>
          <w:p w14:paraId="6766F071" w14:textId="77777777" w:rsidR="006F0FA6" w:rsidRPr="006F0FA6" w:rsidRDefault="006F0FA6" w:rsidP="00DD7020">
            <w:pPr>
              <w:rPr>
                <w:b/>
                <w:bCs/>
              </w:rPr>
            </w:pPr>
          </w:p>
        </w:tc>
        <w:tc>
          <w:tcPr>
            <w:tcW w:w="2268" w:type="dxa"/>
            <w:vAlign w:val="center"/>
          </w:tcPr>
          <w:p w14:paraId="73230ADF" w14:textId="26E4AA1A" w:rsidR="006F0FA6" w:rsidRPr="00DD7020" w:rsidRDefault="006F0FA6" w:rsidP="00DD7020">
            <w:r>
              <w:t>Postal Address</w:t>
            </w:r>
          </w:p>
        </w:tc>
        <w:tc>
          <w:tcPr>
            <w:tcW w:w="6282" w:type="dxa"/>
            <w:vAlign w:val="center"/>
          </w:tcPr>
          <w:p w14:paraId="2264F577" w14:textId="383BD0B6" w:rsidR="006F0FA6" w:rsidRPr="00DD7020" w:rsidRDefault="006F0FA6" w:rsidP="00DD7020">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F0FA6" w:rsidRPr="00DD7020" w14:paraId="43A06A52" w14:textId="77777777" w:rsidTr="006F0FA6">
        <w:trPr>
          <w:trHeight w:hRule="exact" w:val="567"/>
        </w:trPr>
        <w:tc>
          <w:tcPr>
            <w:tcW w:w="1980" w:type="dxa"/>
            <w:vMerge/>
            <w:shd w:val="clear" w:color="auto" w:fill="BFBFBF" w:themeFill="background1" w:themeFillShade="BF"/>
            <w:vAlign w:val="center"/>
          </w:tcPr>
          <w:p w14:paraId="53CB2875" w14:textId="77777777" w:rsidR="006F0FA6" w:rsidRPr="006F0FA6" w:rsidRDefault="006F0FA6" w:rsidP="00DD7020">
            <w:pPr>
              <w:rPr>
                <w:b/>
                <w:bCs/>
              </w:rPr>
            </w:pPr>
          </w:p>
        </w:tc>
        <w:tc>
          <w:tcPr>
            <w:tcW w:w="2268" w:type="dxa"/>
            <w:vAlign w:val="center"/>
          </w:tcPr>
          <w:p w14:paraId="33DBF92E" w14:textId="4EB42AC1" w:rsidR="006F0FA6" w:rsidRPr="00DD7020" w:rsidRDefault="006F0FA6" w:rsidP="00DD7020">
            <w:r>
              <w:t>Phone Number</w:t>
            </w:r>
          </w:p>
        </w:tc>
        <w:tc>
          <w:tcPr>
            <w:tcW w:w="6282" w:type="dxa"/>
            <w:vAlign w:val="center"/>
          </w:tcPr>
          <w:p w14:paraId="18F32A09" w14:textId="36C9D639" w:rsidR="006F0FA6" w:rsidRPr="00DD7020" w:rsidRDefault="006F0FA6" w:rsidP="00DD7020">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6F0FA6" w:rsidRPr="00DD7020" w14:paraId="7C7BE94A" w14:textId="77777777" w:rsidTr="006F0FA6">
        <w:trPr>
          <w:trHeight w:hRule="exact" w:val="567"/>
        </w:trPr>
        <w:tc>
          <w:tcPr>
            <w:tcW w:w="1980" w:type="dxa"/>
            <w:vMerge w:val="restart"/>
            <w:shd w:val="clear" w:color="auto" w:fill="BFBFBF" w:themeFill="background1" w:themeFillShade="BF"/>
            <w:vAlign w:val="center"/>
          </w:tcPr>
          <w:p w14:paraId="7C1B9777" w14:textId="5D36CF45" w:rsidR="006F0FA6" w:rsidRPr="006F0FA6" w:rsidRDefault="006F0FA6" w:rsidP="00DD7020">
            <w:pPr>
              <w:rPr>
                <w:b/>
                <w:bCs/>
              </w:rPr>
            </w:pPr>
            <w:r>
              <w:rPr>
                <w:b/>
                <w:bCs/>
              </w:rPr>
              <w:t>Real Estate Agent</w:t>
            </w:r>
          </w:p>
        </w:tc>
        <w:tc>
          <w:tcPr>
            <w:tcW w:w="2268" w:type="dxa"/>
            <w:shd w:val="clear" w:color="auto" w:fill="D9D9D9" w:themeFill="background1" w:themeFillShade="D9"/>
            <w:vAlign w:val="center"/>
          </w:tcPr>
          <w:p w14:paraId="498E9B9A" w14:textId="7DCBE9F6" w:rsidR="006F0FA6" w:rsidRPr="00DD7020" w:rsidRDefault="006F0FA6" w:rsidP="00DD7020">
            <w:r>
              <w:t>Name</w:t>
            </w:r>
          </w:p>
        </w:tc>
        <w:tc>
          <w:tcPr>
            <w:tcW w:w="6282" w:type="dxa"/>
            <w:shd w:val="clear" w:color="auto" w:fill="D9D9D9" w:themeFill="background1" w:themeFillShade="D9"/>
            <w:vAlign w:val="center"/>
          </w:tcPr>
          <w:p w14:paraId="7EF44805" w14:textId="0EBC54B8" w:rsidR="006F0FA6" w:rsidRPr="00DD7020" w:rsidRDefault="006F0FA6" w:rsidP="00DD7020">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F0FA6" w:rsidRPr="00DD7020" w14:paraId="75EB74F1" w14:textId="77777777" w:rsidTr="006F0FA6">
        <w:trPr>
          <w:trHeight w:hRule="exact" w:val="567"/>
        </w:trPr>
        <w:tc>
          <w:tcPr>
            <w:tcW w:w="1980" w:type="dxa"/>
            <w:vMerge/>
            <w:shd w:val="clear" w:color="auto" w:fill="BFBFBF" w:themeFill="background1" w:themeFillShade="BF"/>
            <w:vAlign w:val="center"/>
          </w:tcPr>
          <w:p w14:paraId="38B1B74A" w14:textId="77777777" w:rsidR="006F0FA6" w:rsidRPr="00DD7020" w:rsidRDefault="006F0FA6" w:rsidP="00DD7020"/>
        </w:tc>
        <w:tc>
          <w:tcPr>
            <w:tcW w:w="2268" w:type="dxa"/>
            <w:shd w:val="clear" w:color="auto" w:fill="D9D9D9" w:themeFill="background1" w:themeFillShade="D9"/>
            <w:vAlign w:val="center"/>
          </w:tcPr>
          <w:p w14:paraId="14D17205" w14:textId="35A0D357" w:rsidR="006F0FA6" w:rsidRPr="00DD7020" w:rsidRDefault="006F0FA6" w:rsidP="00DD7020">
            <w:r>
              <w:t>Email Address</w:t>
            </w:r>
          </w:p>
        </w:tc>
        <w:tc>
          <w:tcPr>
            <w:tcW w:w="6282" w:type="dxa"/>
            <w:shd w:val="clear" w:color="auto" w:fill="D9D9D9" w:themeFill="background1" w:themeFillShade="D9"/>
            <w:vAlign w:val="center"/>
          </w:tcPr>
          <w:p w14:paraId="420FDF04" w14:textId="7A0AE38C" w:rsidR="006F0FA6" w:rsidRPr="00DD7020" w:rsidRDefault="006F0FA6" w:rsidP="00DD7020">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28B9C4E6" w14:textId="36D17C18" w:rsidR="00DD7020" w:rsidRDefault="00DD7020" w:rsidP="00DD7020"/>
    <w:p w14:paraId="06B1ECD5" w14:textId="77777777" w:rsidR="00DD7020" w:rsidRDefault="00DD7020">
      <w:pPr>
        <w:rPr>
          <w:bCs/>
        </w:rPr>
      </w:pPr>
    </w:p>
    <w:sectPr w:rsidR="00DD7020" w:rsidSect="00DD7020">
      <w:headerReference w:type="default" r:id="rId10"/>
      <w:footerReference w:type="default" r:id="rId11"/>
      <w:headerReference w:type="first" r:id="rId12"/>
      <w:footerReference w:type="first" r:id="rId13"/>
      <w:pgSz w:w="11900" w:h="16840"/>
      <w:pgMar w:top="720" w:right="680" w:bottom="280" w:left="680"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FA4D" w14:textId="77777777" w:rsidR="007637C9" w:rsidRDefault="007637C9">
      <w:r>
        <w:separator/>
      </w:r>
    </w:p>
  </w:endnote>
  <w:endnote w:type="continuationSeparator" w:id="0">
    <w:p w14:paraId="30208FF8" w14:textId="77777777" w:rsidR="007637C9" w:rsidRDefault="0076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895"/>
      <w:gridCol w:w="1680"/>
      <w:gridCol w:w="1670"/>
      <w:gridCol w:w="1530"/>
      <w:gridCol w:w="1374"/>
      <w:gridCol w:w="2395"/>
    </w:tblGrid>
    <w:tr w:rsidR="0010795E" w:rsidRPr="00592B10" w14:paraId="5F05F041" w14:textId="77777777" w:rsidTr="00295FFF">
      <w:trPr>
        <w:trHeight w:val="278"/>
        <w:jc w:val="center"/>
      </w:trPr>
      <w:tc>
        <w:tcPr>
          <w:tcW w:w="907" w:type="pct"/>
          <w:gridSpan w:val="2"/>
          <w:tcBorders>
            <w:bottom w:val="single" w:sz="4" w:space="0" w:color="auto"/>
            <w:right w:val="nil"/>
          </w:tcBorders>
        </w:tcPr>
        <w:p w14:paraId="30479FC3" w14:textId="6CB28E33" w:rsidR="0010795E" w:rsidRPr="00592B10" w:rsidRDefault="0010795E" w:rsidP="00295FFF">
          <w:pPr>
            <w:jc w:val="center"/>
            <w:rPr>
              <w:bCs/>
              <w:sz w:val="18"/>
            </w:rPr>
          </w:pPr>
          <w:r w:rsidRPr="00592B10">
            <w:rPr>
              <w:bCs/>
              <w:sz w:val="18"/>
            </w:rPr>
            <w:t>Document Owner:</w:t>
          </w:r>
        </w:p>
      </w:tc>
      <w:tc>
        <w:tcPr>
          <w:tcW w:w="1585" w:type="pct"/>
          <w:gridSpan w:val="2"/>
          <w:tcBorders>
            <w:left w:val="nil"/>
          </w:tcBorders>
        </w:tcPr>
        <w:p w14:paraId="46C8C6FE" w14:textId="18096CB5" w:rsidR="0010795E" w:rsidRPr="00592B10" w:rsidRDefault="00487509" w:rsidP="004E7702">
          <w:pPr>
            <w:rPr>
              <w:bCs/>
              <w:i/>
              <w:sz w:val="18"/>
            </w:rPr>
          </w:pPr>
          <w:r>
            <w:rPr>
              <w:bCs/>
              <w:i/>
              <w:sz w:val="18"/>
            </w:rPr>
            <w:t>Superintendent Town Assets</w:t>
          </w:r>
        </w:p>
      </w:tc>
      <w:tc>
        <w:tcPr>
          <w:tcW w:w="724" w:type="pct"/>
          <w:tcBorders>
            <w:right w:val="nil"/>
          </w:tcBorders>
        </w:tcPr>
        <w:p w14:paraId="1F86DF3C" w14:textId="77777777" w:rsidR="0010795E" w:rsidRPr="00592B10" w:rsidRDefault="0010795E" w:rsidP="004E7702">
          <w:pPr>
            <w:rPr>
              <w:bCs/>
              <w:sz w:val="18"/>
            </w:rPr>
          </w:pPr>
          <w:r w:rsidRPr="00592B10">
            <w:rPr>
              <w:bCs/>
              <w:sz w:val="18"/>
            </w:rPr>
            <w:t xml:space="preserve">Authorised By: </w:t>
          </w:r>
        </w:p>
      </w:tc>
      <w:tc>
        <w:tcPr>
          <w:tcW w:w="1783" w:type="pct"/>
          <w:gridSpan w:val="2"/>
          <w:tcBorders>
            <w:left w:val="nil"/>
          </w:tcBorders>
        </w:tcPr>
        <w:p w14:paraId="142EB5ED" w14:textId="1C594269" w:rsidR="0010795E" w:rsidRPr="00592B10" w:rsidRDefault="00487509" w:rsidP="004E7702">
          <w:pPr>
            <w:rPr>
              <w:bCs/>
              <w:i/>
              <w:sz w:val="18"/>
            </w:rPr>
          </w:pPr>
          <w:r>
            <w:rPr>
              <w:bCs/>
              <w:i/>
              <w:sz w:val="18"/>
            </w:rPr>
            <w:t>Manager Town Transition</w:t>
          </w:r>
        </w:p>
      </w:tc>
    </w:tr>
    <w:tr w:rsidR="0010795E" w14:paraId="3A5B2240" w14:textId="77777777" w:rsidTr="00295FFF">
      <w:trPr>
        <w:cantSplit/>
        <w:trHeight w:val="284"/>
        <w:jc w:val="center"/>
      </w:trPr>
      <w:tc>
        <w:tcPr>
          <w:tcW w:w="484" w:type="pct"/>
          <w:tcBorders>
            <w:right w:val="nil"/>
          </w:tcBorders>
        </w:tcPr>
        <w:p w14:paraId="01DEDF6F" w14:textId="77777777" w:rsidR="0010795E" w:rsidRPr="00592B10" w:rsidRDefault="0010795E" w:rsidP="00345186">
          <w:pPr>
            <w:rPr>
              <w:bCs/>
              <w:sz w:val="18"/>
            </w:rPr>
          </w:pPr>
          <w:r>
            <w:rPr>
              <w:bCs/>
              <w:sz w:val="18"/>
            </w:rPr>
            <w:t>Rev No:</w:t>
          </w:r>
        </w:p>
      </w:tc>
      <w:tc>
        <w:tcPr>
          <w:tcW w:w="423" w:type="pct"/>
          <w:tcBorders>
            <w:left w:val="nil"/>
          </w:tcBorders>
        </w:tcPr>
        <w:p w14:paraId="5E2E556D" w14:textId="16E0C67A" w:rsidR="0010795E" w:rsidRPr="00592B10" w:rsidRDefault="00487509" w:rsidP="00433700">
          <w:pPr>
            <w:rPr>
              <w:bCs/>
              <w:sz w:val="18"/>
            </w:rPr>
          </w:pPr>
          <w:r>
            <w:rPr>
              <w:bCs/>
              <w:sz w:val="18"/>
            </w:rPr>
            <w:t>1</w:t>
          </w:r>
        </w:p>
      </w:tc>
      <w:tc>
        <w:tcPr>
          <w:tcW w:w="795" w:type="pct"/>
          <w:tcBorders>
            <w:right w:val="nil"/>
          </w:tcBorders>
        </w:tcPr>
        <w:p w14:paraId="329027F8" w14:textId="77777777" w:rsidR="0010795E" w:rsidRPr="00592B10" w:rsidRDefault="0010795E" w:rsidP="004E7702">
          <w:pPr>
            <w:rPr>
              <w:bCs/>
              <w:sz w:val="18"/>
            </w:rPr>
          </w:pPr>
          <w:r>
            <w:rPr>
              <w:bCs/>
              <w:sz w:val="18"/>
            </w:rPr>
            <w:t>Date o</w:t>
          </w:r>
          <w:r w:rsidRPr="00592B10">
            <w:rPr>
              <w:bCs/>
              <w:sz w:val="18"/>
            </w:rPr>
            <w:t xml:space="preserve">f Issue: </w:t>
          </w:r>
        </w:p>
      </w:tc>
      <w:tc>
        <w:tcPr>
          <w:tcW w:w="790" w:type="pct"/>
          <w:tcBorders>
            <w:left w:val="nil"/>
          </w:tcBorders>
        </w:tcPr>
        <w:p w14:paraId="5F5A18C1" w14:textId="1D5128BF" w:rsidR="0010795E" w:rsidRPr="00592B10" w:rsidRDefault="00DD7020" w:rsidP="004E7702">
          <w:pPr>
            <w:rPr>
              <w:bCs/>
              <w:sz w:val="18"/>
            </w:rPr>
          </w:pPr>
          <w:r>
            <w:rPr>
              <w:bCs/>
              <w:sz w:val="18"/>
            </w:rPr>
            <w:t>01/07/26</w:t>
          </w:r>
        </w:p>
      </w:tc>
      <w:tc>
        <w:tcPr>
          <w:tcW w:w="1374" w:type="pct"/>
          <w:gridSpan w:val="2"/>
        </w:tcPr>
        <w:p w14:paraId="1E747EC7" w14:textId="77777777" w:rsidR="0010795E" w:rsidRPr="00592B10" w:rsidRDefault="0010795E" w:rsidP="004E7702">
          <w:pPr>
            <w:rPr>
              <w:bCs/>
              <w:sz w:val="18"/>
            </w:rPr>
          </w:pPr>
        </w:p>
      </w:tc>
      <w:tc>
        <w:tcPr>
          <w:tcW w:w="1133" w:type="pct"/>
        </w:tcPr>
        <w:p w14:paraId="763069E3" w14:textId="77777777" w:rsidR="0010795E" w:rsidRPr="00592B10" w:rsidRDefault="0010795E" w:rsidP="00433700">
          <w:pPr>
            <w:rPr>
              <w:bCs/>
              <w:sz w:val="18"/>
            </w:rPr>
          </w:pPr>
          <w:r w:rsidRPr="00592B10">
            <w:rPr>
              <w:bCs/>
              <w:sz w:val="18"/>
            </w:rPr>
            <w:t>P</w:t>
          </w:r>
          <w:r>
            <w:rPr>
              <w:bCs/>
              <w:sz w:val="18"/>
            </w:rPr>
            <w:t>a</w:t>
          </w:r>
          <w:r w:rsidRPr="00592B10">
            <w:rPr>
              <w:bCs/>
              <w:sz w:val="18"/>
            </w:rPr>
            <w:t>g</w:t>
          </w:r>
          <w:r>
            <w:rPr>
              <w:bCs/>
              <w:sz w:val="18"/>
            </w:rPr>
            <w:t>e</w:t>
          </w:r>
          <w:r w:rsidRPr="00592B10">
            <w:rPr>
              <w:bCs/>
              <w:sz w:val="18"/>
            </w:rPr>
            <w:t xml:space="preserve"> </w:t>
          </w:r>
          <w:r w:rsidRPr="00592B10">
            <w:rPr>
              <w:bCs/>
              <w:sz w:val="18"/>
            </w:rPr>
            <w:fldChar w:fldCharType="begin"/>
          </w:r>
          <w:r w:rsidRPr="00592B10">
            <w:rPr>
              <w:bCs/>
              <w:sz w:val="18"/>
            </w:rPr>
            <w:instrText xml:space="preserve"> PAGE </w:instrText>
          </w:r>
          <w:r w:rsidRPr="00592B10">
            <w:rPr>
              <w:bCs/>
              <w:sz w:val="18"/>
            </w:rPr>
            <w:fldChar w:fldCharType="separate"/>
          </w:r>
          <w:r>
            <w:rPr>
              <w:bCs/>
              <w:noProof/>
              <w:sz w:val="18"/>
            </w:rPr>
            <w:t>2</w:t>
          </w:r>
          <w:r w:rsidRPr="00592B10">
            <w:rPr>
              <w:bCs/>
              <w:sz w:val="18"/>
            </w:rPr>
            <w:fldChar w:fldCharType="end"/>
          </w:r>
          <w:r w:rsidRPr="00592B10">
            <w:rPr>
              <w:bCs/>
              <w:sz w:val="18"/>
            </w:rPr>
            <w:t xml:space="preserve"> Of </w:t>
          </w:r>
          <w:r w:rsidRPr="00592B10">
            <w:rPr>
              <w:bCs/>
              <w:sz w:val="18"/>
            </w:rPr>
            <w:fldChar w:fldCharType="begin"/>
          </w:r>
          <w:r w:rsidRPr="00592B10">
            <w:rPr>
              <w:bCs/>
              <w:sz w:val="18"/>
            </w:rPr>
            <w:instrText xml:space="preserve"> NUMPAGES </w:instrText>
          </w:r>
          <w:r w:rsidRPr="00592B10">
            <w:rPr>
              <w:bCs/>
              <w:sz w:val="18"/>
            </w:rPr>
            <w:fldChar w:fldCharType="separate"/>
          </w:r>
          <w:r>
            <w:rPr>
              <w:bCs/>
              <w:noProof/>
              <w:sz w:val="18"/>
            </w:rPr>
            <w:t>7</w:t>
          </w:r>
          <w:r w:rsidRPr="00592B10">
            <w:rPr>
              <w:bCs/>
              <w:sz w:val="18"/>
            </w:rPr>
            <w:fldChar w:fldCharType="end"/>
          </w:r>
        </w:p>
      </w:tc>
    </w:tr>
  </w:tbl>
  <w:p w14:paraId="553DC398" w14:textId="77777777" w:rsidR="0010795E" w:rsidRPr="0010795E" w:rsidRDefault="0010795E" w:rsidP="00112373">
    <w:pPr>
      <w:pStyle w:val="Footer"/>
      <w:jc w:val="center"/>
      <w:rPr>
        <w:sz w:val="18"/>
        <w:szCs w:val="18"/>
      </w:rPr>
    </w:pPr>
    <w:r w:rsidRPr="0010795E">
      <w:rPr>
        <w:b/>
        <w:sz w:val="18"/>
        <w:szCs w:val="18"/>
      </w:rPr>
      <w:t>Check the Gove Document Register to confirm that this is the current revision of this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896"/>
      <w:gridCol w:w="1680"/>
      <w:gridCol w:w="1670"/>
      <w:gridCol w:w="1530"/>
      <w:gridCol w:w="1374"/>
      <w:gridCol w:w="2395"/>
    </w:tblGrid>
    <w:tr w:rsidR="005E3DE6" w:rsidRPr="00592B10" w14:paraId="751FA583" w14:textId="77777777" w:rsidTr="005E3DE6">
      <w:trPr>
        <w:trHeight w:val="278"/>
        <w:jc w:val="center"/>
      </w:trPr>
      <w:tc>
        <w:tcPr>
          <w:tcW w:w="908" w:type="pct"/>
          <w:gridSpan w:val="2"/>
          <w:tcBorders>
            <w:bottom w:val="single" w:sz="4" w:space="0" w:color="auto"/>
            <w:right w:val="nil"/>
          </w:tcBorders>
        </w:tcPr>
        <w:p w14:paraId="41A929BB" w14:textId="77777777" w:rsidR="005E3DE6" w:rsidRPr="00592B10" w:rsidRDefault="005E3DE6" w:rsidP="005E3DE6">
          <w:pPr>
            <w:jc w:val="center"/>
            <w:rPr>
              <w:bCs/>
              <w:sz w:val="18"/>
            </w:rPr>
          </w:pPr>
          <w:r w:rsidRPr="00592B10">
            <w:rPr>
              <w:bCs/>
              <w:sz w:val="18"/>
            </w:rPr>
            <w:t>Document Owner:</w:t>
          </w:r>
        </w:p>
      </w:tc>
      <w:tc>
        <w:tcPr>
          <w:tcW w:w="1585" w:type="pct"/>
          <w:gridSpan w:val="2"/>
          <w:tcBorders>
            <w:left w:val="nil"/>
          </w:tcBorders>
        </w:tcPr>
        <w:p w14:paraId="11B2CB72" w14:textId="77777777" w:rsidR="005E3DE6" w:rsidRPr="00592B10" w:rsidRDefault="005E3DE6" w:rsidP="005E3DE6">
          <w:pPr>
            <w:rPr>
              <w:bCs/>
              <w:i/>
              <w:sz w:val="18"/>
            </w:rPr>
          </w:pPr>
          <w:r>
            <w:rPr>
              <w:bCs/>
              <w:i/>
              <w:sz w:val="18"/>
            </w:rPr>
            <w:t>Superintendent Town Assets</w:t>
          </w:r>
        </w:p>
      </w:tc>
      <w:tc>
        <w:tcPr>
          <w:tcW w:w="724" w:type="pct"/>
          <w:tcBorders>
            <w:right w:val="nil"/>
          </w:tcBorders>
        </w:tcPr>
        <w:p w14:paraId="13338618" w14:textId="77777777" w:rsidR="005E3DE6" w:rsidRPr="00592B10" w:rsidRDefault="005E3DE6" w:rsidP="005E3DE6">
          <w:pPr>
            <w:rPr>
              <w:bCs/>
              <w:sz w:val="18"/>
            </w:rPr>
          </w:pPr>
          <w:r w:rsidRPr="00592B10">
            <w:rPr>
              <w:bCs/>
              <w:sz w:val="18"/>
            </w:rPr>
            <w:t xml:space="preserve">Authorised By: </w:t>
          </w:r>
        </w:p>
      </w:tc>
      <w:tc>
        <w:tcPr>
          <w:tcW w:w="1783" w:type="pct"/>
          <w:gridSpan w:val="2"/>
          <w:tcBorders>
            <w:left w:val="nil"/>
          </w:tcBorders>
        </w:tcPr>
        <w:p w14:paraId="3AAC0A9B" w14:textId="77777777" w:rsidR="005E3DE6" w:rsidRPr="00592B10" w:rsidRDefault="005E3DE6" w:rsidP="005E3DE6">
          <w:pPr>
            <w:rPr>
              <w:bCs/>
              <w:i/>
              <w:sz w:val="18"/>
            </w:rPr>
          </w:pPr>
          <w:r>
            <w:rPr>
              <w:bCs/>
              <w:i/>
              <w:sz w:val="18"/>
            </w:rPr>
            <w:t>Manager Town Transition</w:t>
          </w:r>
        </w:p>
      </w:tc>
    </w:tr>
    <w:tr w:rsidR="005E3DE6" w14:paraId="3E6E4D7C" w14:textId="77777777" w:rsidTr="00DB1B31">
      <w:trPr>
        <w:cantSplit/>
        <w:trHeight w:val="284"/>
        <w:jc w:val="center"/>
      </w:trPr>
      <w:tc>
        <w:tcPr>
          <w:tcW w:w="484" w:type="pct"/>
          <w:tcBorders>
            <w:right w:val="nil"/>
          </w:tcBorders>
        </w:tcPr>
        <w:p w14:paraId="5A1D7E30" w14:textId="77777777" w:rsidR="005E3DE6" w:rsidRPr="00592B10" w:rsidRDefault="005E3DE6" w:rsidP="005E3DE6">
          <w:pPr>
            <w:rPr>
              <w:bCs/>
              <w:sz w:val="18"/>
            </w:rPr>
          </w:pPr>
          <w:r>
            <w:rPr>
              <w:bCs/>
              <w:sz w:val="18"/>
            </w:rPr>
            <w:t>Rev No:</w:t>
          </w:r>
        </w:p>
      </w:tc>
      <w:tc>
        <w:tcPr>
          <w:tcW w:w="423" w:type="pct"/>
          <w:tcBorders>
            <w:left w:val="nil"/>
          </w:tcBorders>
        </w:tcPr>
        <w:p w14:paraId="387ECAFC" w14:textId="77777777" w:rsidR="005E3DE6" w:rsidRPr="00592B10" w:rsidRDefault="005E3DE6" w:rsidP="005E3DE6">
          <w:pPr>
            <w:rPr>
              <w:bCs/>
              <w:sz w:val="18"/>
            </w:rPr>
          </w:pPr>
          <w:r>
            <w:rPr>
              <w:bCs/>
              <w:sz w:val="18"/>
            </w:rPr>
            <w:t>1</w:t>
          </w:r>
        </w:p>
      </w:tc>
      <w:tc>
        <w:tcPr>
          <w:tcW w:w="795" w:type="pct"/>
          <w:tcBorders>
            <w:right w:val="nil"/>
          </w:tcBorders>
        </w:tcPr>
        <w:p w14:paraId="733DED53" w14:textId="77777777" w:rsidR="005E3DE6" w:rsidRPr="00592B10" w:rsidRDefault="005E3DE6" w:rsidP="005E3DE6">
          <w:pPr>
            <w:rPr>
              <w:bCs/>
              <w:sz w:val="18"/>
            </w:rPr>
          </w:pPr>
          <w:r>
            <w:rPr>
              <w:bCs/>
              <w:sz w:val="18"/>
            </w:rPr>
            <w:t>Date o</w:t>
          </w:r>
          <w:r w:rsidRPr="00592B10">
            <w:rPr>
              <w:bCs/>
              <w:sz w:val="18"/>
            </w:rPr>
            <w:t xml:space="preserve">f Issue: </w:t>
          </w:r>
        </w:p>
      </w:tc>
      <w:tc>
        <w:tcPr>
          <w:tcW w:w="790" w:type="pct"/>
          <w:tcBorders>
            <w:left w:val="nil"/>
          </w:tcBorders>
        </w:tcPr>
        <w:p w14:paraId="29C689CE" w14:textId="77777777" w:rsidR="005E3DE6" w:rsidRPr="00592B10" w:rsidRDefault="005E3DE6" w:rsidP="005E3DE6">
          <w:pPr>
            <w:rPr>
              <w:bCs/>
              <w:sz w:val="18"/>
            </w:rPr>
          </w:pPr>
          <w:r>
            <w:rPr>
              <w:bCs/>
              <w:sz w:val="18"/>
            </w:rPr>
            <w:t>30/06/2026</w:t>
          </w:r>
        </w:p>
      </w:tc>
      <w:tc>
        <w:tcPr>
          <w:tcW w:w="1374" w:type="pct"/>
          <w:gridSpan w:val="2"/>
        </w:tcPr>
        <w:p w14:paraId="40A17908" w14:textId="77777777" w:rsidR="005E3DE6" w:rsidRPr="00592B10" w:rsidRDefault="005E3DE6" w:rsidP="005E3DE6">
          <w:pPr>
            <w:rPr>
              <w:bCs/>
              <w:sz w:val="18"/>
            </w:rPr>
          </w:pPr>
        </w:p>
      </w:tc>
      <w:tc>
        <w:tcPr>
          <w:tcW w:w="1133" w:type="pct"/>
        </w:tcPr>
        <w:p w14:paraId="0DACEF8B" w14:textId="77777777" w:rsidR="005E3DE6" w:rsidRPr="00592B10" w:rsidRDefault="005E3DE6" w:rsidP="005E3DE6">
          <w:pPr>
            <w:rPr>
              <w:bCs/>
              <w:sz w:val="18"/>
            </w:rPr>
          </w:pPr>
          <w:r w:rsidRPr="00592B10">
            <w:rPr>
              <w:bCs/>
              <w:sz w:val="18"/>
            </w:rPr>
            <w:t>P</w:t>
          </w:r>
          <w:r>
            <w:rPr>
              <w:bCs/>
              <w:sz w:val="18"/>
            </w:rPr>
            <w:t>a</w:t>
          </w:r>
          <w:r w:rsidRPr="00592B10">
            <w:rPr>
              <w:bCs/>
              <w:sz w:val="18"/>
            </w:rPr>
            <w:t>g</w:t>
          </w:r>
          <w:r>
            <w:rPr>
              <w:bCs/>
              <w:sz w:val="18"/>
            </w:rPr>
            <w:t>e</w:t>
          </w:r>
          <w:r w:rsidRPr="00592B10">
            <w:rPr>
              <w:bCs/>
              <w:sz w:val="18"/>
            </w:rPr>
            <w:t xml:space="preserve"> </w:t>
          </w:r>
          <w:r w:rsidRPr="00592B10">
            <w:rPr>
              <w:bCs/>
              <w:sz w:val="18"/>
            </w:rPr>
            <w:fldChar w:fldCharType="begin"/>
          </w:r>
          <w:r w:rsidRPr="00592B10">
            <w:rPr>
              <w:bCs/>
              <w:sz w:val="18"/>
            </w:rPr>
            <w:instrText xml:space="preserve"> PAGE </w:instrText>
          </w:r>
          <w:r w:rsidRPr="00592B10">
            <w:rPr>
              <w:bCs/>
              <w:sz w:val="18"/>
            </w:rPr>
            <w:fldChar w:fldCharType="separate"/>
          </w:r>
          <w:r>
            <w:rPr>
              <w:bCs/>
              <w:noProof/>
              <w:sz w:val="18"/>
            </w:rPr>
            <w:t>2</w:t>
          </w:r>
          <w:r w:rsidRPr="00592B10">
            <w:rPr>
              <w:bCs/>
              <w:sz w:val="18"/>
            </w:rPr>
            <w:fldChar w:fldCharType="end"/>
          </w:r>
          <w:r w:rsidRPr="00592B10">
            <w:rPr>
              <w:bCs/>
              <w:sz w:val="18"/>
            </w:rPr>
            <w:t xml:space="preserve"> Of </w:t>
          </w:r>
          <w:r w:rsidRPr="00592B10">
            <w:rPr>
              <w:bCs/>
              <w:sz w:val="18"/>
            </w:rPr>
            <w:fldChar w:fldCharType="begin"/>
          </w:r>
          <w:r w:rsidRPr="00592B10">
            <w:rPr>
              <w:bCs/>
              <w:sz w:val="18"/>
            </w:rPr>
            <w:instrText xml:space="preserve"> NUMPAGES </w:instrText>
          </w:r>
          <w:r w:rsidRPr="00592B10">
            <w:rPr>
              <w:bCs/>
              <w:sz w:val="18"/>
            </w:rPr>
            <w:fldChar w:fldCharType="separate"/>
          </w:r>
          <w:r>
            <w:rPr>
              <w:bCs/>
              <w:noProof/>
              <w:sz w:val="18"/>
            </w:rPr>
            <w:t>7</w:t>
          </w:r>
          <w:r w:rsidRPr="00592B10">
            <w:rPr>
              <w:bCs/>
              <w:sz w:val="18"/>
            </w:rPr>
            <w:fldChar w:fldCharType="end"/>
          </w:r>
        </w:p>
      </w:tc>
    </w:tr>
  </w:tbl>
  <w:p w14:paraId="2EE32202" w14:textId="1AFA25F8" w:rsidR="005E3DE6" w:rsidRPr="005E3DE6" w:rsidRDefault="005E3DE6" w:rsidP="005E3DE6">
    <w:pPr>
      <w:pStyle w:val="Footer"/>
      <w:jc w:val="center"/>
      <w:rPr>
        <w:sz w:val="18"/>
        <w:szCs w:val="18"/>
      </w:rPr>
    </w:pPr>
    <w:r w:rsidRPr="0010795E">
      <w:rPr>
        <w:b/>
        <w:sz w:val="18"/>
        <w:szCs w:val="18"/>
      </w:rPr>
      <w:t>Check the Gove Document Register to confirm that this is the current revision of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2D17" w14:textId="77777777" w:rsidR="007637C9" w:rsidRDefault="007637C9">
      <w:r>
        <w:separator/>
      </w:r>
    </w:p>
  </w:footnote>
  <w:footnote w:type="continuationSeparator" w:id="0">
    <w:p w14:paraId="514C9F36" w14:textId="77777777" w:rsidR="007637C9" w:rsidRDefault="00763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57BF" w14:textId="24A2FFC9" w:rsidR="00216989" w:rsidRDefault="0010795E" w:rsidP="0010795E">
    <w:pPr>
      <w:pStyle w:val="Header"/>
      <w:jc w:val="right"/>
      <w:rPr>
        <w:b/>
        <w:bCs/>
      </w:rPr>
    </w:pPr>
    <w:r w:rsidRPr="0010795E">
      <w:rPr>
        <w:b/>
        <w:bCs/>
        <w:noProof/>
      </w:rPr>
      <w:drawing>
        <wp:anchor distT="0" distB="0" distL="114300" distR="114300" simplePos="0" relativeHeight="251664896" behindDoc="1" locked="0" layoutInCell="1" allowOverlap="1" wp14:anchorId="07D767DE" wp14:editId="47C4480C">
          <wp:simplePos x="0" y="0"/>
          <wp:positionH relativeFrom="page">
            <wp:posOffset>617220</wp:posOffset>
          </wp:positionH>
          <wp:positionV relativeFrom="page">
            <wp:posOffset>159294</wp:posOffset>
          </wp:positionV>
          <wp:extent cx="1325880" cy="526415"/>
          <wp:effectExtent l="0" t="0" r="7620" b="6985"/>
          <wp:wrapNone/>
          <wp:docPr id="1009946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26415"/>
                  </a:xfrm>
                  <a:prstGeom prst="rect">
                    <a:avLst/>
                  </a:prstGeom>
                  <a:noFill/>
                </pic:spPr>
              </pic:pic>
            </a:graphicData>
          </a:graphic>
          <wp14:sizeRelH relativeFrom="page">
            <wp14:pctWidth>0</wp14:pctWidth>
          </wp14:sizeRelH>
          <wp14:sizeRelV relativeFrom="page">
            <wp14:pctHeight>0</wp14:pctHeight>
          </wp14:sizeRelV>
        </wp:anchor>
      </w:drawing>
    </w:r>
    <w:r>
      <w:rPr>
        <w:b/>
        <w:bCs/>
      </w:rPr>
      <w:t>FRM-CAF-</w:t>
    </w:r>
    <w:r w:rsidR="00AA1176">
      <w:rPr>
        <w:b/>
        <w:bCs/>
      </w:rPr>
      <w:t>032</w:t>
    </w:r>
  </w:p>
  <w:p w14:paraId="2CA5DEFA" w14:textId="1407C28D" w:rsidR="0010795E" w:rsidRPr="0010795E" w:rsidRDefault="0010795E" w:rsidP="0010795E">
    <w:pPr>
      <w:pStyle w:val="Header"/>
      <w:pBdr>
        <w:bottom w:val="single" w:sz="4" w:space="1" w:color="auto"/>
      </w:pBdr>
      <w:jc w:val="right"/>
      <w:rPr>
        <w:b/>
        <w:bCs/>
      </w:rPr>
    </w:pPr>
    <w:r>
      <w:rPr>
        <w:b/>
        <w:bCs/>
      </w:rPr>
      <w:t>CONSENT TO TRANSFER A SUBLEASE / UNDERLEASE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FAB3" w14:textId="77777777" w:rsidR="005E3DE6" w:rsidRDefault="005E3DE6" w:rsidP="005E3DE6">
    <w:pPr>
      <w:pStyle w:val="Header"/>
      <w:jc w:val="right"/>
      <w:rPr>
        <w:b/>
        <w:bCs/>
      </w:rPr>
    </w:pPr>
  </w:p>
  <w:p w14:paraId="3038EEB7" w14:textId="6441D583" w:rsidR="005E3DE6" w:rsidRDefault="005E3DE6" w:rsidP="005E3DE6">
    <w:pPr>
      <w:pStyle w:val="Header"/>
      <w:jc w:val="right"/>
      <w:rPr>
        <w:b/>
        <w:bCs/>
      </w:rPr>
    </w:pPr>
    <w:r w:rsidRPr="0010795E">
      <w:rPr>
        <w:b/>
        <w:bCs/>
        <w:noProof/>
      </w:rPr>
      <w:drawing>
        <wp:anchor distT="0" distB="0" distL="114300" distR="114300" simplePos="0" relativeHeight="251666944" behindDoc="1" locked="0" layoutInCell="1" allowOverlap="1" wp14:anchorId="678D7E38" wp14:editId="3A302680">
          <wp:simplePos x="0" y="0"/>
          <wp:positionH relativeFrom="page">
            <wp:posOffset>720090</wp:posOffset>
          </wp:positionH>
          <wp:positionV relativeFrom="page">
            <wp:posOffset>250190</wp:posOffset>
          </wp:positionV>
          <wp:extent cx="1325880" cy="526415"/>
          <wp:effectExtent l="0" t="0" r="7620" b="6985"/>
          <wp:wrapNone/>
          <wp:docPr id="2083626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26415"/>
                  </a:xfrm>
                  <a:prstGeom prst="rect">
                    <a:avLst/>
                  </a:prstGeom>
                  <a:noFill/>
                </pic:spPr>
              </pic:pic>
            </a:graphicData>
          </a:graphic>
          <wp14:sizeRelH relativeFrom="page">
            <wp14:pctWidth>0</wp14:pctWidth>
          </wp14:sizeRelH>
          <wp14:sizeRelV relativeFrom="page">
            <wp14:pctHeight>0</wp14:pctHeight>
          </wp14:sizeRelV>
        </wp:anchor>
      </w:drawing>
    </w:r>
    <w:r>
      <w:rPr>
        <w:b/>
        <w:bCs/>
      </w:rPr>
      <w:t>FRM-CAF-032</w:t>
    </w:r>
  </w:p>
  <w:p w14:paraId="132AAF23" w14:textId="77777777" w:rsidR="005E3DE6" w:rsidRPr="0010795E" w:rsidRDefault="005E3DE6" w:rsidP="005E3DE6">
    <w:pPr>
      <w:pStyle w:val="Header"/>
      <w:pBdr>
        <w:bottom w:val="single" w:sz="4" w:space="1" w:color="auto"/>
      </w:pBdr>
      <w:jc w:val="right"/>
      <w:rPr>
        <w:b/>
        <w:bCs/>
      </w:rPr>
    </w:pPr>
    <w:r>
      <w:rPr>
        <w:b/>
        <w:bCs/>
      </w:rPr>
      <w:t>CONSENT TO TRANSFER A SUBLEASE / UNDERLEASE</w:t>
    </w:r>
  </w:p>
  <w:p w14:paraId="60190BF3" w14:textId="77777777" w:rsidR="005E3DE6" w:rsidRDefault="005E3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101A"/>
    <w:multiLevelType w:val="hybridMultilevel"/>
    <w:tmpl w:val="DB364830"/>
    <w:lvl w:ilvl="0" w:tplc="D8A83568">
      <w:start w:val="1"/>
      <w:numFmt w:val="decimal"/>
      <w:lvlText w:val="%1."/>
      <w:lvlJc w:val="left"/>
      <w:pPr>
        <w:ind w:left="614" w:hanging="360"/>
        <w:jc w:val="left"/>
      </w:pPr>
      <w:rPr>
        <w:rFonts w:ascii="Arial" w:eastAsia="Arial" w:hAnsi="Arial" w:cs="Arial" w:hint="default"/>
        <w:b/>
        <w:bCs/>
        <w:i w:val="0"/>
        <w:iCs w:val="0"/>
        <w:spacing w:val="-1"/>
        <w:w w:val="100"/>
        <w:sz w:val="22"/>
        <w:szCs w:val="22"/>
        <w:lang w:val="en-US" w:eastAsia="en-US" w:bidi="ar-SA"/>
      </w:rPr>
    </w:lvl>
    <w:lvl w:ilvl="1" w:tplc="329E5B42">
      <w:numFmt w:val="bullet"/>
      <w:lvlText w:val="•"/>
      <w:lvlJc w:val="left"/>
      <w:pPr>
        <w:ind w:left="1548" w:hanging="360"/>
      </w:pPr>
      <w:rPr>
        <w:rFonts w:hint="default"/>
        <w:lang w:val="en-US" w:eastAsia="en-US" w:bidi="ar-SA"/>
      </w:rPr>
    </w:lvl>
    <w:lvl w:ilvl="2" w:tplc="8D4891A8">
      <w:numFmt w:val="bullet"/>
      <w:lvlText w:val="•"/>
      <w:lvlJc w:val="left"/>
      <w:pPr>
        <w:ind w:left="2477" w:hanging="360"/>
      </w:pPr>
      <w:rPr>
        <w:rFonts w:hint="default"/>
        <w:lang w:val="en-US" w:eastAsia="en-US" w:bidi="ar-SA"/>
      </w:rPr>
    </w:lvl>
    <w:lvl w:ilvl="3" w:tplc="4A4E1864">
      <w:numFmt w:val="bullet"/>
      <w:lvlText w:val="•"/>
      <w:lvlJc w:val="left"/>
      <w:pPr>
        <w:ind w:left="3405" w:hanging="360"/>
      </w:pPr>
      <w:rPr>
        <w:rFonts w:hint="default"/>
        <w:lang w:val="en-US" w:eastAsia="en-US" w:bidi="ar-SA"/>
      </w:rPr>
    </w:lvl>
    <w:lvl w:ilvl="4" w:tplc="14DCBAB0">
      <w:numFmt w:val="bullet"/>
      <w:lvlText w:val="•"/>
      <w:lvlJc w:val="left"/>
      <w:pPr>
        <w:ind w:left="4334" w:hanging="360"/>
      </w:pPr>
      <w:rPr>
        <w:rFonts w:hint="default"/>
        <w:lang w:val="en-US" w:eastAsia="en-US" w:bidi="ar-SA"/>
      </w:rPr>
    </w:lvl>
    <w:lvl w:ilvl="5" w:tplc="8F6C8C7A">
      <w:numFmt w:val="bullet"/>
      <w:lvlText w:val="•"/>
      <w:lvlJc w:val="left"/>
      <w:pPr>
        <w:ind w:left="5263" w:hanging="360"/>
      </w:pPr>
      <w:rPr>
        <w:rFonts w:hint="default"/>
        <w:lang w:val="en-US" w:eastAsia="en-US" w:bidi="ar-SA"/>
      </w:rPr>
    </w:lvl>
    <w:lvl w:ilvl="6" w:tplc="C1824B12">
      <w:numFmt w:val="bullet"/>
      <w:lvlText w:val="•"/>
      <w:lvlJc w:val="left"/>
      <w:pPr>
        <w:ind w:left="6191" w:hanging="360"/>
      </w:pPr>
      <w:rPr>
        <w:rFonts w:hint="default"/>
        <w:lang w:val="en-US" w:eastAsia="en-US" w:bidi="ar-SA"/>
      </w:rPr>
    </w:lvl>
    <w:lvl w:ilvl="7" w:tplc="7812DD90">
      <w:numFmt w:val="bullet"/>
      <w:lvlText w:val="•"/>
      <w:lvlJc w:val="left"/>
      <w:pPr>
        <w:ind w:left="7120" w:hanging="360"/>
      </w:pPr>
      <w:rPr>
        <w:rFonts w:hint="default"/>
        <w:lang w:val="en-US" w:eastAsia="en-US" w:bidi="ar-SA"/>
      </w:rPr>
    </w:lvl>
    <w:lvl w:ilvl="8" w:tplc="58820506">
      <w:numFmt w:val="bullet"/>
      <w:lvlText w:val="•"/>
      <w:lvlJc w:val="left"/>
      <w:pPr>
        <w:ind w:left="8049" w:hanging="360"/>
      </w:pPr>
      <w:rPr>
        <w:rFonts w:hint="default"/>
        <w:lang w:val="en-US" w:eastAsia="en-US" w:bidi="ar-SA"/>
      </w:rPr>
    </w:lvl>
  </w:abstractNum>
  <w:abstractNum w:abstractNumId="1" w15:restartNumberingAfterBreak="0">
    <w:nsid w:val="25990C1B"/>
    <w:multiLevelType w:val="hybridMultilevel"/>
    <w:tmpl w:val="5928B04C"/>
    <w:lvl w:ilvl="0" w:tplc="C2549DF2">
      <w:numFmt w:val="bullet"/>
      <w:lvlText w:val="o"/>
      <w:lvlJc w:val="left"/>
      <w:pPr>
        <w:ind w:left="680" w:hanging="567"/>
      </w:pPr>
      <w:rPr>
        <w:rFonts w:ascii="Courier New" w:eastAsia="Courier New" w:hAnsi="Courier New" w:cs="Courier New" w:hint="default"/>
        <w:b w:val="0"/>
        <w:bCs w:val="0"/>
        <w:i w:val="0"/>
        <w:iCs w:val="0"/>
        <w:spacing w:val="0"/>
        <w:w w:val="100"/>
        <w:sz w:val="22"/>
        <w:szCs w:val="22"/>
        <w:lang w:val="en-US" w:eastAsia="en-US" w:bidi="ar-SA"/>
      </w:rPr>
    </w:lvl>
    <w:lvl w:ilvl="1" w:tplc="BB6A879A">
      <w:numFmt w:val="bullet"/>
      <w:lvlText w:val="•"/>
      <w:lvlJc w:val="left"/>
      <w:pPr>
        <w:ind w:left="1666" w:hanging="567"/>
      </w:pPr>
      <w:rPr>
        <w:rFonts w:hint="default"/>
        <w:lang w:val="en-US" w:eastAsia="en-US" w:bidi="ar-SA"/>
      </w:rPr>
    </w:lvl>
    <w:lvl w:ilvl="2" w:tplc="99F60E9A">
      <w:numFmt w:val="bullet"/>
      <w:lvlText w:val="•"/>
      <w:lvlJc w:val="left"/>
      <w:pPr>
        <w:ind w:left="2652" w:hanging="567"/>
      </w:pPr>
      <w:rPr>
        <w:rFonts w:hint="default"/>
        <w:lang w:val="en-US" w:eastAsia="en-US" w:bidi="ar-SA"/>
      </w:rPr>
    </w:lvl>
    <w:lvl w:ilvl="3" w:tplc="6E485E44">
      <w:numFmt w:val="bullet"/>
      <w:lvlText w:val="•"/>
      <w:lvlJc w:val="left"/>
      <w:pPr>
        <w:ind w:left="3638" w:hanging="567"/>
      </w:pPr>
      <w:rPr>
        <w:rFonts w:hint="default"/>
        <w:lang w:val="en-US" w:eastAsia="en-US" w:bidi="ar-SA"/>
      </w:rPr>
    </w:lvl>
    <w:lvl w:ilvl="4" w:tplc="E3D869DE">
      <w:numFmt w:val="bullet"/>
      <w:lvlText w:val="•"/>
      <w:lvlJc w:val="left"/>
      <w:pPr>
        <w:ind w:left="4624" w:hanging="567"/>
      </w:pPr>
      <w:rPr>
        <w:rFonts w:hint="default"/>
        <w:lang w:val="en-US" w:eastAsia="en-US" w:bidi="ar-SA"/>
      </w:rPr>
    </w:lvl>
    <w:lvl w:ilvl="5" w:tplc="CA26B4FC">
      <w:numFmt w:val="bullet"/>
      <w:lvlText w:val="•"/>
      <w:lvlJc w:val="left"/>
      <w:pPr>
        <w:ind w:left="5610" w:hanging="567"/>
      </w:pPr>
      <w:rPr>
        <w:rFonts w:hint="default"/>
        <w:lang w:val="en-US" w:eastAsia="en-US" w:bidi="ar-SA"/>
      </w:rPr>
    </w:lvl>
    <w:lvl w:ilvl="6" w:tplc="BBCE80D2">
      <w:numFmt w:val="bullet"/>
      <w:lvlText w:val="•"/>
      <w:lvlJc w:val="left"/>
      <w:pPr>
        <w:ind w:left="6596" w:hanging="567"/>
      </w:pPr>
      <w:rPr>
        <w:rFonts w:hint="default"/>
        <w:lang w:val="en-US" w:eastAsia="en-US" w:bidi="ar-SA"/>
      </w:rPr>
    </w:lvl>
    <w:lvl w:ilvl="7" w:tplc="703621EE">
      <w:numFmt w:val="bullet"/>
      <w:lvlText w:val="•"/>
      <w:lvlJc w:val="left"/>
      <w:pPr>
        <w:ind w:left="7582" w:hanging="567"/>
      </w:pPr>
      <w:rPr>
        <w:rFonts w:hint="default"/>
        <w:lang w:val="en-US" w:eastAsia="en-US" w:bidi="ar-SA"/>
      </w:rPr>
    </w:lvl>
    <w:lvl w:ilvl="8" w:tplc="19FE794E">
      <w:numFmt w:val="bullet"/>
      <w:lvlText w:val="•"/>
      <w:lvlJc w:val="left"/>
      <w:pPr>
        <w:ind w:left="8568" w:hanging="567"/>
      </w:pPr>
      <w:rPr>
        <w:rFonts w:hint="default"/>
        <w:lang w:val="en-US" w:eastAsia="en-US" w:bidi="ar-SA"/>
      </w:rPr>
    </w:lvl>
  </w:abstractNum>
  <w:num w:numId="1" w16cid:durableId="695086595">
    <w:abstractNumId w:val="1"/>
  </w:num>
  <w:num w:numId="2" w16cid:durableId="170020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89"/>
    <w:rsid w:val="00055149"/>
    <w:rsid w:val="0010795E"/>
    <w:rsid w:val="00122410"/>
    <w:rsid w:val="001B44E4"/>
    <w:rsid w:val="00216989"/>
    <w:rsid w:val="00295FFF"/>
    <w:rsid w:val="00296377"/>
    <w:rsid w:val="00323CFD"/>
    <w:rsid w:val="003A1867"/>
    <w:rsid w:val="003E3DDA"/>
    <w:rsid w:val="00487509"/>
    <w:rsid w:val="00493C1F"/>
    <w:rsid w:val="00555835"/>
    <w:rsid w:val="00590C85"/>
    <w:rsid w:val="005E3DE6"/>
    <w:rsid w:val="00652CAE"/>
    <w:rsid w:val="00656983"/>
    <w:rsid w:val="00660EB3"/>
    <w:rsid w:val="0069133B"/>
    <w:rsid w:val="006F0FA6"/>
    <w:rsid w:val="006F3B49"/>
    <w:rsid w:val="007637C9"/>
    <w:rsid w:val="00787125"/>
    <w:rsid w:val="00901681"/>
    <w:rsid w:val="00A21576"/>
    <w:rsid w:val="00A773CE"/>
    <w:rsid w:val="00AA1176"/>
    <w:rsid w:val="00AD00B0"/>
    <w:rsid w:val="00D32D78"/>
    <w:rsid w:val="00D81B66"/>
    <w:rsid w:val="00DD7020"/>
    <w:rsid w:val="00E97321"/>
    <w:rsid w:val="00ED1762"/>
    <w:rsid w:val="00F37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0823"/>
  <w15:docId w15:val="{3981CE91-5213-4263-B9CB-9B10DDA7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14"/>
      <w:outlineLvl w:val="0"/>
    </w:pPr>
    <w:rPr>
      <w:rFonts w:ascii="Tahoma" w:eastAsia="Tahoma" w:hAnsi="Tahoma" w:cs="Tahom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0"/>
      <w:ind w:left="680"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795E"/>
    <w:pPr>
      <w:tabs>
        <w:tab w:val="center" w:pos="4513"/>
        <w:tab w:val="right" w:pos="9026"/>
      </w:tabs>
    </w:pPr>
  </w:style>
  <w:style w:type="character" w:customStyle="1" w:styleId="HeaderChar">
    <w:name w:val="Header Char"/>
    <w:basedOn w:val="DefaultParagraphFont"/>
    <w:link w:val="Header"/>
    <w:uiPriority w:val="99"/>
    <w:rsid w:val="0010795E"/>
    <w:rPr>
      <w:rFonts w:ascii="Arial" w:eastAsia="Arial" w:hAnsi="Arial" w:cs="Arial"/>
    </w:rPr>
  </w:style>
  <w:style w:type="paragraph" w:styleId="Footer">
    <w:name w:val="footer"/>
    <w:basedOn w:val="Normal"/>
    <w:link w:val="FooterChar"/>
    <w:unhideWhenUsed/>
    <w:rsid w:val="0010795E"/>
    <w:pPr>
      <w:tabs>
        <w:tab w:val="center" w:pos="4513"/>
        <w:tab w:val="right" w:pos="9026"/>
      </w:tabs>
    </w:pPr>
  </w:style>
  <w:style w:type="character" w:customStyle="1" w:styleId="FooterChar">
    <w:name w:val="Footer Char"/>
    <w:basedOn w:val="DefaultParagraphFont"/>
    <w:link w:val="Footer"/>
    <w:rsid w:val="0010795E"/>
    <w:rPr>
      <w:rFonts w:ascii="Arial" w:eastAsia="Arial" w:hAnsi="Arial" w:cs="Arial"/>
    </w:rPr>
  </w:style>
  <w:style w:type="character" w:styleId="Hyperlink">
    <w:name w:val="Hyperlink"/>
    <w:basedOn w:val="DefaultParagraphFont"/>
    <w:uiPriority w:val="99"/>
    <w:unhideWhenUsed/>
    <w:rsid w:val="00A773CE"/>
    <w:rPr>
      <w:color w:val="0000FF" w:themeColor="hyperlink"/>
      <w:u w:val="single"/>
    </w:rPr>
  </w:style>
  <w:style w:type="character" w:styleId="UnresolvedMention">
    <w:name w:val="Unresolved Mention"/>
    <w:basedOn w:val="DefaultParagraphFont"/>
    <w:uiPriority w:val="99"/>
    <w:semiHidden/>
    <w:unhideWhenUsed/>
    <w:rsid w:val="00A773CE"/>
    <w:rPr>
      <w:color w:val="605E5C"/>
      <w:shd w:val="clear" w:color="auto" w:fill="E1DFDD"/>
    </w:rPr>
  </w:style>
  <w:style w:type="table" w:styleId="TableGrid">
    <w:name w:val="Table Grid"/>
    <w:basedOn w:val="TableNormal"/>
    <w:uiPriority w:val="39"/>
    <w:rsid w:val="00DD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oveLeasingEnquiries@riotint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veLeasingEnquiries@riotint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C9147-2D5D-4A08-B788-FCCB741A73D5}">
  <ds:schemaRefs>
    <ds:schemaRef ds:uri="http://schemas.openxmlformats.org/officeDocument/2006/bibliography"/>
  </ds:schemaRefs>
</ds:datastoreItem>
</file>

<file path=docMetadata/LabelInfo.xml><?xml version="1.0" encoding="utf-8"?>
<clbl:labelList xmlns:clbl="http://schemas.microsoft.com/office/2020/mipLabelMetadata">
  <clbl:label id="{4341df80-fbe6-41bf-89b0-e6e2379c9c23}" enabled="0" method="" siteId="{4341df80-fbe6-41bf-89b0-e6e2379c9c23}"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gutted</dc:creator>
  <cp:lastModifiedBy>Pople, Amy (RTAGove)</cp:lastModifiedBy>
  <cp:revision>5</cp:revision>
  <cp:lastPrinted>2024-10-14T00:13:00Z</cp:lastPrinted>
  <dcterms:created xsi:type="dcterms:W3CDTF">2026-06-30T21:47:00Z</dcterms:created>
  <dcterms:modified xsi:type="dcterms:W3CDTF">2026-07-02T01:38:00Z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Adobe Acrobat Pro (64-bit) 24.2.20687</vt:lpwstr>
  </property>
  <property fmtid="{D5CDD505-2E9C-101B-9397-08002B2CF9AE}" pid="4" name="LastSaved">
    <vt:filetime>2024-10-13T00:00:00Z</vt:filetime>
  </property>
  <property fmtid="{D5CDD505-2E9C-101B-9397-08002B2CF9AE}" pid="5" name="Producer">
    <vt:lpwstr>Adobe Acrobat Pro (64-bit) 24.2.20687</vt:lpwstr>
  </property>
</Properties>
</file>